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3C942A" w14:textId="5535351D" w:rsidR="00AC34D5" w:rsidRDefault="00470BE4" w:rsidP="009F2E1F">
      <w:pPr>
        <w:spacing w:line="480" w:lineRule="auto"/>
        <w:ind w:left="5"/>
        <w:jc w:val="both"/>
        <w:rPr>
          <w:rFonts w:asciiTheme="majorBidi" w:hAnsiTheme="majorBidi" w:cstheme="majorBidi"/>
          <w:b/>
          <w:sz w:val="22"/>
          <w:szCs w:val="22"/>
        </w:rPr>
      </w:pPr>
      <w:r w:rsidRPr="005A2EE1">
        <w:rPr>
          <w:rFonts w:asciiTheme="majorBidi" w:hAnsiTheme="majorBidi" w:cstheme="majorBidi"/>
          <w:b/>
          <w:sz w:val="22"/>
          <w:szCs w:val="22"/>
        </w:rPr>
        <w:t>FREQUENCY OF PRETERM BIRTHS IN OVERWEIGHT AND OBESE PREGNANT WOMEN</w:t>
      </w:r>
    </w:p>
    <w:p w14:paraId="3A3D5E10" w14:textId="77777777" w:rsidR="00C61D23" w:rsidRPr="00BA38C0" w:rsidRDefault="00C61D23" w:rsidP="009F2E1F">
      <w:pPr>
        <w:spacing w:line="480" w:lineRule="auto"/>
        <w:jc w:val="both"/>
        <w:rPr>
          <w:rFonts w:ascii="Times New Roman" w:hAnsi="Times New Roman" w:cs="Times New Roman"/>
          <w:sz w:val="22"/>
        </w:rPr>
      </w:pPr>
      <w:r w:rsidRPr="00BA38C0">
        <w:rPr>
          <w:rFonts w:ascii="Times New Roman" w:hAnsi="Times New Roman" w:cs="Times New Roman"/>
          <w:sz w:val="22"/>
        </w:rPr>
        <w:t>Submission: 01 November 2025 | Acceptance: 20 February 2026 | Publication: 09 March 2026</w:t>
      </w:r>
    </w:p>
    <w:p w14:paraId="660CCE92" w14:textId="77777777" w:rsidR="00AC34D5" w:rsidRPr="005A2EE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vertAlign w:val="superscript"/>
        </w:rPr>
        <w:t>1</w:t>
      </w:r>
      <w:r w:rsidRPr="005A2EE1">
        <w:rPr>
          <w:rFonts w:asciiTheme="majorBidi" w:hAnsiTheme="majorBidi" w:cstheme="majorBidi"/>
          <w:sz w:val="22"/>
          <w:szCs w:val="22"/>
        </w:rPr>
        <w:t xml:space="preserve">Dr. Nighat Ismail, </w:t>
      </w:r>
      <w:r w:rsidRPr="005A2EE1">
        <w:rPr>
          <w:rFonts w:asciiTheme="majorBidi" w:hAnsiTheme="majorBidi" w:cstheme="majorBidi"/>
          <w:sz w:val="22"/>
          <w:szCs w:val="22"/>
          <w:vertAlign w:val="superscript"/>
        </w:rPr>
        <w:t>2</w:t>
      </w:r>
      <w:r w:rsidRPr="005A2EE1">
        <w:rPr>
          <w:rFonts w:asciiTheme="majorBidi" w:hAnsiTheme="majorBidi" w:cstheme="majorBidi"/>
          <w:sz w:val="22"/>
          <w:szCs w:val="22"/>
        </w:rPr>
        <w:t xml:space="preserve">Dr. </w:t>
      </w:r>
      <w:proofErr w:type="spellStart"/>
      <w:r w:rsidRPr="005A2EE1">
        <w:rPr>
          <w:rFonts w:asciiTheme="majorBidi" w:hAnsiTheme="majorBidi" w:cstheme="majorBidi"/>
          <w:sz w:val="22"/>
          <w:szCs w:val="22"/>
        </w:rPr>
        <w:t>Shighraf</w:t>
      </w:r>
      <w:proofErr w:type="spellEnd"/>
      <w:r w:rsidRPr="005A2EE1">
        <w:rPr>
          <w:rFonts w:asciiTheme="majorBidi" w:hAnsiTheme="majorBidi" w:cstheme="majorBidi"/>
          <w:sz w:val="22"/>
          <w:szCs w:val="22"/>
        </w:rPr>
        <w:t xml:space="preserve"> </w:t>
      </w:r>
      <w:proofErr w:type="spellStart"/>
      <w:r w:rsidRPr="005A2EE1">
        <w:rPr>
          <w:rFonts w:asciiTheme="majorBidi" w:hAnsiTheme="majorBidi" w:cstheme="majorBidi"/>
          <w:sz w:val="22"/>
          <w:szCs w:val="22"/>
        </w:rPr>
        <w:t>Iftikhar</w:t>
      </w:r>
      <w:proofErr w:type="spellEnd"/>
      <w:r w:rsidRPr="005A2EE1">
        <w:rPr>
          <w:rFonts w:asciiTheme="majorBidi" w:hAnsiTheme="majorBidi" w:cstheme="majorBidi"/>
          <w:sz w:val="22"/>
          <w:szCs w:val="22"/>
        </w:rPr>
        <w:t xml:space="preserve">, </w:t>
      </w:r>
      <w:r w:rsidRPr="005A2EE1">
        <w:rPr>
          <w:rFonts w:asciiTheme="majorBidi" w:hAnsiTheme="majorBidi" w:cstheme="majorBidi"/>
          <w:sz w:val="22"/>
          <w:szCs w:val="22"/>
          <w:vertAlign w:val="superscript"/>
        </w:rPr>
        <w:t>3</w:t>
      </w:r>
      <w:r w:rsidRPr="005A2EE1">
        <w:rPr>
          <w:rFonts w:asciiTheme="majorBidi" w:hAnsiTheme="majorBidi" w:cstheme="majorBidi"/>
          <w:sz w:val="22"/>
          <w:szCs w:val="22"/>
        </w:rPr>
        <w:t xml:space="preserve">Dr. Hira Gul, </w:t>
      </w:r>
      <w:r w:rsidRPr="005A2EE1">
        <w:rPr>
          <w:rFonts w:asciiTheme="majorBidi" w:hAnsiTheme="majorBidi" w:cstheme="majorBidi"/>
          <w:sz w:val="22"/>
          <w:szCs w:val="22"/>
          <w:vertAlign w:val="superscript"/>
        </w:rPr>
        <w:t>4</w:t>
      </w:r>
      <w:r w:rsidRPr="005A2EE1">
        <w:rPr>
          <w:rFonts w:asciiTheme="majorBidi" w:hAnsiTheme="majorBidi" w:cstheme="majorBidi"/>
          <w:sz w:val="22"/>
          <w:szCs w:val="22"/>
        </w:rPr>
        <w:t>Dr. Haleema Yasmin</w:t>
      </w:r>
    </w:p>
    <w:p w14:paraId="145DA38A"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vertAlign w:val="superscript"/>
        </w:rPr>
        <w:t>1</w:t>
      </w:r>
      <w:r w:rsidRPr="005A2EE1">
        <w:rPr>
          <w:rFonts w:asciiTheme="majorBidi" w:hAnsiTheme="majorBidi" w:cstheme="majorBidi"/>
          <w:sz w:val="22"/>
          <w:szCs w:val="22"/>
        </w:rPr>
        <w:t>Jinnah Postgraduate Medical Centre, Postgraduate Trainee, MBBS</w:t>
      </w:r>
    </w:p>
    <w:p w14:paraId="67579935"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vertAlign w:val="superscript"/>
        </w:rPr>
        <w:t>2</w:t>
      </w:r>
      <w:r w:rsidRPr="005A2EE1">
        <w:rPr>
          <w:rFonts w:asciiTheme="majorBidi" w:hAnsiTheme="majorBidi" w:cstheme="majorBidi"/>
          <w:sz w:val="22"/>
          <w:szCs w:val="22"/>
        </w:rPr>
        <w:t xml:space="preserve">Jinnah Postgraduate Medical Centre, Senior </w:t>
      </w:r>
      <w:r w:rsidRPr="005A2EE1">
        <w:rPr>
          <w:rFonts w:asciiTheme="majorBidi" w:hAnsiTheme="majorBidi" w:cstheme="majorBidi"/>
          <w:sz w:val="22"/>
          <w:szCs w:val="22"/>
        </w:rPr>
        <w:t>Registrar, MBBS, FCPS</w:t>
      </w:r>
    </w:p>
    <w:p w14:paraId="269D6950"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vertAlign w:val="superscript"/>
        </w:rPr>
        <w:t>3</w:t>
      </w:r>
      <w:r w:rsidRPr="005A2EE1">
        <w:rPr>
          <w:rFonts w:asciiTheme="majorBidi" w:hAnsiTheme="majorBidi" w:cstheme="majorBidi"/>
          <w:sz w:val="22"/>
          <w:szCs w:val="22"/>
        </w:rPr>
        <w:t>Jinnah Postgraduate Medical Centre, Postgraduate trainee, MBBS</w:t>
      </w:r>
    </w:p>
    <w:p w14:paraId="7FDDDA7B"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vertAlign w:val="superscript"/>
        </w:rPr>
        <w:t>4</w:t>
      </w:r>
      <w:r w:rsidRPr="005A2EE1">
        <w:rPr>
          <w:rFonts w:asciiTheme="majorBidi" w:hAnsiTheme="majorBidi" w:cstheme="majorBidi"/>
          <w:sz w:val="22"/>
          <w:szCs w:val="22"/>
        </w:rPr>
        <w:t>Jinnah Postgraduate Medical Centre, Head of Department, MBBS, MCPS, FCPS</w:t>
      </w:r>
    </w:p>
    <w:p w14:paraId="6442800B" w14:textId="77777777" w:rsidR="00D83DC7" w:rsidRDefault="00D83DC7" w:rsidP="009F2E1F">
      <w:pPr>
        <w:pStyle w:val="Heading1"/>
        <w:spacing w:after="3" w:line="480" w:lineRule="auto"/>
        <w:ind w:left="5"/>
        <w:jc w:val="both"/>
        <w:rPr>
          <w:rFonts w:asciiTheme="majorBidi" w:hAnsiTheme="majorBidi" w:cstheme="majorBidi"/>
          <w:sz w:val="22"/>
          <w:szCs w:val="22"/>
        </w:rPr>
      </w:pPr>
    </w:p>
    <w:p w14:paraId="7D139844" w14:textId="0299E067" w:rsidR="00AC34D5" w:rsidRPr="0014604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rPr>
        <w:t>A</w:t>
      </w:r>
      <w:r w:rsidRPr="00146041">
        <w:rPr>
          <w:rFonts w:asciiTheme="majorBidi" w:hAnsiTheme="majorBidi" w:cstheme="majorBidi"/>
          <w:sz w:val="22"/>
          <w:szCs w:val="22"/>
        </w:rPr>
        <w:t xml:space="preserve">BSTRACT </w:t>
      </w:r>
    </w:p>
    <w:p w14:paraId="46FC5324" w14:textId="77777777" w:rsidR="00D83DC7" w:rsidRDefault="00146041" w:rsidP="009F2E1F">
      <w:pPr>
        <w:spacing w:line="480" w:lineRule="auto"/>
        <w:ind w:left="5" w:right="72"/>
        <w:jc w:val="both"/>
        <w:rPr>
          <w:rFonts w:asciiTheme="majorBidi" w:hAnsiTheme="majorBidi" w:cstheme="majorBidi"/>
          <w:sz w:val="22"/>
          <w:szCs w:val="22"/>
        </w:rPr>
      </w:pPr>
      <w:r w:rsidRPr="00146041">
        <w:rPr>
          <w:rFonts w:asciiTheme="majorBidi" w:hAnsiTheme="majorBidi" w:cstheme="majorBidi"/>
          <w:b/>
          <w:sz w:val="22"/>
          <w:szCs w:val="22"/>
        </w:rPr>
        <w:t xml:space="preserve">Aim: </w:t>
      </w:r>
      <w:r w:rsidR="00470BE4" w:rsidRPr="005A2EE1">
        <w:rPr>
          <w:rFonts w:asciiTheme="majorBidi" w:hAnsiTheme="majorBidi" w:cstheme="majorBidi"/>
          <w:sz w:val="22"/>
          <w:szCs w:val="22"/>
        </w:rPr>
        <w:t xml:space="preserve">To determine and compare the frequency of preterm birth among overweight and </w:t>
      </w:r>
      <w:r w:rsidR="00470BE4" w:rsidRPr="005A2EE1">
        <w:rPr>
          <w:rFonts w:asciiTheme="majorBidi" w:hAnsiTheme="majorBidi" w:cstheme="majorBidi"/>
          <w:sz w:val="22"/>
          <w:szCs w:val="22"/>
        </w:rPr>
        <w:t>obese pregnant women attending JPMC, Karachi.</w:t>
      </w:r>
    </w:p>
    <w:p w14:paraId="59964C97" w14:textId="77777777" w:rsidR="00A518DA" w:rsidRDefault="00D83DC7"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 xml:space="preserve"> Methodology</w:t>
      </w:r>
      <w:r>
        <w:rPr>
          <w:rFonts w:asciiTheme="majorBidi" w:hAnsiTheme="majorBidi" w:cstheme="majorBidi"/>
          <w:sz w:val="22"/>
          <w:szCs w:val="22"/>
        </w:rPr>
        <w:t xml:space="preserve">: </w:t>
      </w:r>
      <w:r w:rsidR="00470BE4" w:rsidRPr="00D83DC7">
        <w:rPr>
          <w:rFonts w:asciiTheme="majorBidi" w:hAnsiTheme="majorBidi" w:cstheme="majorBidi"/>
          <w:sz w:val="22"/>
          <w:szCs w:val="22"/>
        </w:rPr>
        <w:t xml:space="preserve">A cross-sectional study was conducted from December 2024 to June 2025 in the Department of Obstetrics and </w:t>
      </w:r>
      <w:proofErr w:type="spellStart"/>
      <w:r w:rsidR="00470BE4" w:rsidRPr="00D83DC7">
        <w:rPr>
          <w:rFonts w:asciiTheme="majorBidi" w:hAnsiTheme="majorBidi" w:cstheme="majorBidi"/>
          <w:sz w:val="22"/>
          <w:szCs w:val="22"/>
        </w:rPr>
        <w:t>Gynaecology</w:t>
      </w:r>
      <w:proofErr w:type="spellEnd"/>
      <w:r w:rsidR="00470BE4" w:rsidRPr="00D83DC7">
        <w:rPr>
          <w:rFonts w:asciiTheme="majorBidi" w:hAnsiTheme="majorBidi" w:cstheme="majorBidi"/>
          <w:sz w:val="22"/>
          <w:szCs w:val="22"/>
        </w:rPr>
        <w:t>, JPMC, Karachi. It included 188 pregnant women aged 18–40 years, between 22–37 w</w:t>
      </w:r>
      <w:r w:rsidR="00470BE4" w:rsidRPr="00D83DC7">
        <w:rPr>
          <w:rFonts w:asciiTheme="majorBidi" w:hAnsiTheme="majorBidi" w:cstheme="majorBidi"/>
          <w:sz w:val="22"/>
          <w:szCs w:val="22"/>
        </w:rPr>
        <w:t xml:space="preserve">eeks of gestation, with BMI ≥ 23.0 kg/m². Based on Asia-Pacific criteria, participants were classified as overweight (BMI 23.0–24.9 kg/m²) or obese (BMI ≥ 25.0 kg/m²). Data were </w:t>
      </w:r>
      <w:proofErr w:type="spellStart"/>
      <w:r w:rsidR="00470BE4" w:rsidRPr="00D83DC7">
        <w:rPr>
          <w:rFonts w:asciiTheme="majorBidi" w:hAnsiTheme="majorBidi" w:cstheme="majorBidi"/>
          <w:sz w:val="22"/>
          <w:szCs w:val="22"/>
        </w:rPr>
        <w:t>analysed</w:t>
      </w:r>
      <w:proofErr w:type="spellEnd"/>
      <w:r w:rsidR="00470BE4" w:rsidRPr="00D83DC7">
        <w:rPr>
          <w:rFonts w:asciiTheme="majorBidi" w:hAnsiTheme="majorBidi" w:cstheme="majorBidi"/>
          <w:sz w:val="22"/>
          <w:szCs w:val="22"/>
        </w:rPr>
        <w:t xml:space="preserve"> in SPSS version 26 using descriptive and inferential statistics, appl</w:t>
      </w:r>
      <w:r w:rsidR="00470BE4" w:rsidRPr="00D83DC7">
        <w:rPr>
          <w:rFonts w:asciiTheme="majorBidi" w:hAnsiTheme="majorBidi" w:cstheme="majorBidi"/>
          <w:sz w:val="22"/>
          <w:szCs w:val="22"/>
        </w:rPr>
        <w:t>ying the Chi-square test (p &lt; 0.05</w:t>
      </w:r>
      <w:proofErr w:type="gramStart"/>
      <w:r w:rsidR="00470BE4" w:rsidRPr="00D83DC7">
        <w:rPr>
          <w:rFonts w:asciiTheme="majorBidi" w:hAnsiTheme="majorBidi" w:cstheme="majorBidi"/>
          <w:sz w:val="22"/>
          <w:szCs w:val="22"/>
        </w:rPr>
        <w:t>).</w:t>
      </w:r>
      <w:r w:rsidR="00A518DA">
        <w:rPr>
          <w:rFonts w:asciiTheme="majorBidi" w:hAnsiTheme="majorBidi" w:cstheme="majorBidi"/>
          <w:sz w:val="22"/>
          <w:szCs w:val="22"/>
        </w:rPr>
        <w:t>.</w:t>
      </w:r>
      <w:proofErr w:type="gramEnd"/>
      <w:r w:rsidR="00A518DA">
        <w:rPr>
          <w:rFonts w:asciiTheme="majorBidi" w:hAnsiTheme="majorBidi" w:cstheme="majorBidi"/>
          <w:sz w:val="22"/>
          <w:szCs w:val="22"/>
        </w:rPr>
        <w:t xml:space="preserve"> </w:t>
      </w:r>
    </w:p>
    <w:p w14:paraId="7B9E26E1" w14:textId="585F42E6" w:rsidR="00AC34D5" w:rsidRPr="005A2EE1" w:rsidRDefault="00470BE4" w:rsidP="009F2E1F">
      <w:pPr>
        <w:spacing w:line="480" w:lineRule="auto"/>
        <w:ind w:left="5" w:right="72"/>
        <w:jc w:val="both"/>
        <w:rPr>
          <w:rFonts w:asciiTheme="majorBidi" w:hAnsiTheme="majorBidi" w:cstheme="majorBidi"/>
          <w:sz w:val="22"/>
          <w:szCs w:val="22"/>
        </w:rPr>
      </w:pPr>
      <w:r w:rsidRPr="00A518DA">
        <w:rPr>
          <w:rFonts w:asciiTheme="majorBidi" w:hAnsiTheme="majorBidi" w:cstheme="majorBidi"/>
          <w:b/>
          <w:sz w:val="22"/>
          <w:szCs w:val="22"/>
        </w:rPr>
        <w:t>RESULTS</w:t>
      </w:r>
      <w:r w:rsidR="00D83DC7" w:rsidRPr="00A518DA">
        <w:rPr>
          <w:rFonts w:asciiTheme="majorBidi" w:hAnsiTheme="majorBidi" w:cstheme="majorBidi"/>
          <w:b/>
          <w:sz w:val="22"/>
          <w:szCs w:val="22"/>
        </w:rPr>
        <w:t xml:space="preserve">: </w:t>
      </w:r>
      <w:r w:rsidRPr="005A2EE1">
        <w:rPr>
          <w:rFonts w:asciiTheme="majorBidi" w:hAnsiTheme="majorBidi" w:cstheme="majorBidi"/>
          <w:sz w:val="22"/>
          <w:szCs w:val="22"/>
        </w:rPr>
        <w:t>Among 188 pregnant women (mean age 28.9±3.7 years; mean BMI 30.0±3.85 kg/m²), 20.2% experienced preterm birth. Obese women showed a higher preterm rate (25.0%) than overweight women (12.3%), though the differenc</w:t>
      </w:r>
      <w:r w:rsidRPr="005A2EE1">
        <w:rPr>
          <w:rFonts w:asciiTheme="majorBidi" w:hAnsiTheme="majorBidi" w:cstheme="majorBidi"/>
          <w:sz w:val="22"/>
          <w:szCs w:val="22"/>
        </w:rPr>
        <w:t xml:space="preserve">e was not statistically significant (p=0.334). Maternal BMI was significantly </w:t>
      </w:r>
      <w:r w:rsidRPr="005A2EE1">
        <w:rPr>
          <w:rFonts w:asciiTheme="majorBidi" w:hAnsiTheme="majorBidi" w:cstheme="majorBidi"/>
          <w:sz w:val="22"/>
          <w:szCs w:val="22"/>
        </w:rPr>
        <w:lastRenderedPageBreak/>
        <w:t>higher in women with preterm birth (p=0.007), whereas age, parity, residence, and employment showed no significant association.</w:t>
      </w:r>
    </w:p>
    <w:p w14:paraId="1200E92B" w14:textId="52109E7E" w:rsidR="00AC34D5" w:rsidRPr="00A03DB2" w:rsidRDefault="00A03DB2" w:rsidP="009F2E1F">
      <w:pPr>
        <w:pStyle w:val="Heading1"/>
        <w:spacing w:after="3" w:line="480" w:lineRule="auto"/>
        <w:ind w:left="5"/>
        <w:jc w:val="both"/>
        <w:rPr>
          <w:rFonts w:asciiTheme="majorBidi" w:hAnsiTheme="majorBidi" w:cstheme="majorBidi"/>
          <w:b w:val="0"/>
          <w:sz w:val="22"/>
          <w:szCs w:val="22"/>
        </w:rPr>
      </w:pPr>
      <w:r w:rsidRPr="005A2EE1">
        <w:rPr>
          <w:rFonts w:asciiTheme="majorBidi" w:hAnsiTheme="majorBidi" w:cstheme="majorBidi"/>
          <w:sz w:val="22"/>
          <w:szCs w:val="22"/>
        </w:rPr>
        <w:t>Conclusion</w:t>
      </w:r>
      <w:r>
        <w:rPr>
          <w:rFonts w:asciiTheme="majorBidi" w:hAnsiTheme="majorBidi" w:cstheme="majorBidi"/>
          <w:sz w:val="22"/>
          <w:szCs w:val="22"/>
        </w:rPr>
        <w:t xml:space="preserve">: </w:t>
      </w:r>
      <w:r w:rsidR="00470BE4" w:rsidRPr="00A03DB2">
        <w:rPr>
          <w:rFonts w:asciiTheme="majorBidi" w:hAnsiTheme="majorBidi" w:cstheme="majorBidi"/>
          <w:b w:val="0"/>
          <w:sz w:val="22"/>
          <w:szCs w:val="22"/>
        </w:rPr>
        <w:t xml:space="preserve">The study revealed that preterm births </w:t>
      </w:r>
      <w:r w:rsidR="00470BE4" w:rsidRPr="00A03DB2">
        <w:rPr>
          <w:rFonts w:asciiTheme="majorBidi" w:hAnsiTheme="majorBidi" w:cstheme="majorBidi"/>
          <w:b w:val="0"/>
          <w:sz w:val="22"/>
          <w:szCs w:val="22"/>
        </w:rPr>
        <w:t>were more frequent among obese women compared to those who were overweight, although this difference did not reach statistical significance. A higher maternal BMI demonstrated a significant association with preterm delivery, highlighting excessive maternal</w:t>
      </w:r>
      <w:r w:rsidR="00470BE4" w:rsidRPr="00A03DB2">
        <w:rPr>
          <w:rFonts w:asciiTheme="majorBidi" w:hAnsiTheme="majorBidi" w:cstheme="majorBidi"/>
          <w:b w:val="0"/>
          <w:sz w:val="22"/>
          <w:szCs w:val="22"/>
        </w:rPr>
        <w:t xml:space="preserve"> weight as a key risk factor. Promoting preconceptio</w:t>
      </w:r>
      <w:bookmarkStart w:id="0" w:name="_GoBack"/>
      <w:bookmarkEnd w:id="0"/>
      <w:r w:rsidR="00470BE4" w:rsidRPr="00A03DB2">
        <w:rPr>
          <w:rFonts w:asciiTheme="majorBidi" w:hAnsiTheme="majorBidi" w:cstheme="majorBidi"/>
          <w:b w:val="0"/>
          <w:sz w:val="22"/>
          <w:szCs w:val="22"/>
        </w:rPr>
        <w:t>n weight optimization and individualized antenatal care could help reduce preterm birth rates in this population.</w:t>
      </w:r>
    </w:p>
    <w:p w14:paraId="6EEB6AFE" w14:textId="77C9F1C4" w:rsidR="00AC34D5" w:rsidRDefault="00A03DB2" w:rsidP="009F2E1F">
      <w:pPr>
        <w:spacing w:line="480" w:lineRule="auto"/>
        <w:ind w:left="5"/>
        <w:jc w:val="both"/>
        <w:rPr>
          <w:rFonts w:asciiTheme="majorBidi" w:hAnsiTheme="majorBidi" w:cstheme="majorBidi"/>
          <w:sz w:val="22"/>
          <w:szCs w:val="22"/>
        </w:rPr>
      </w:pPr>
      <w:r w:rsidRPr="005A2EE1">
        <w:rPr>
          <w:rFonts w:asciiTheme="majorBidi" w:hAnsiTheme="majorBidi" w:cstheme="majorBidi"/>
          <w:b/>
          <w:sz w:val="22"/>
          <w:szCs w:val="22"/>
        </w:rPr>
        <w:t>Keywords</w:t>
      </w:r>
      <w:r>
        <w:rPr>
          <w:rFonts w:asciiTheme="majorBidi" w:hAnsiTheme="majorBidi" w:cstheme="majorBidi"/>
          <w:b/>
          <w:sz w:val="22"/>
          <w:szCs w:val="22"/>
        </w:rPr>
        <w:t xml:space="preserve">: </w:t>
      </w:r>
      <w:r w:rsidR="00470BE4" w:rsidRPr="005A2EE1">
        <w:rPr>
          <w:rFonts w:asciiTheme="majorBidi" w:hAnsiTheme="majorBidi" w:cstheme="majorBidi"/>
          <w:sz w:val="22"/>
          <w:szCs w:val="22"/>
        </w:rPr>
        <w:t>Preterm birth, Maternal obesity, Overweight, Body mass index; Antenatal care</w:t>
      </w:r>
      <w:r>
        <w:rPr>
          <w:rFonts w:asciiTheme="majorBidi" w:hAnsiTheme="majorBidi" w:cstheme="majorBidi"/>
          <w:sz w:val="22"/>
          <w:szCs w:val="22"/>
        </w:rPr>
        <w:t xml:space="preserve">. </w:t>
      </w:r>
    </w:p>
    <w:p w14:paraId="194CE823" w14:textId="77777777" w:rsidR="00A03DB2" w:rsidRPr="005A2EE1" w:rsidRDefault="00A03DB2" w:rsidP="009F2E1F">
      <w:pPr>
        <w:spacing w:line="480" w:lineRule="auto"/>
        <w:ind w:left="5"/>
        <w:jc w:val="both"/>
        <w:rPr>
          <w:rFonts w:asciiTheme="majorBidi" w:hAnsiTheme="majorBidi" w:cstheme="majorBidi"/>
          <w:sz w:val="22"/>
          <w:szCs w:val="22"/>
        </w:rPr>
      </w:pPr>
    </w:p>
    <w:p w14:paraId="587480F1" w14:textId="77777777" w:rsidR="00AC34D5" w:rsidRPr="005A2EE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rPr>
        <w:t>INTR</w:t>
      </w:r>
      <w:r w:rsidRPr="005A2EE1">
        <w:rPr>
          <w:rFonts w:asciiTheme="majorBidi" w:hAnsiTheme="majorBidi" w:cstheme="majorBidi"/>
          <w:sz w:val="22"/>
          <w:szCs w:val="22"/>
        </w:rPr>
        <w:t>ODUCTION</w:t>
      </w:r>
    </w:p>
    <w:p w14:paraId="08838255"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Preterm birth, defined as childbirth before 37 weeks of gestation, remains a pressing global health concern, contributing significantly to neonatal morbidity and mortality. The World Health Organization gets results that approximately 15 million p</w:t>
      </w:r>
      <w:r w:rsidRPr="005A2EE1">
        <w:rPr>
          <w:rFonts w:asciiTheme="majorBidi" w:hAnsiTheme="majorBidi" w:cstheme="majorBidi"/>
          <w:sz w:val="22"/>
          <w:szCs w:val="22"/>
        </w:rPr>
        <w:t>reterm births arise annually, leading to around 1.1 million neonatal deaths worldwide [1, 2]. Among the various risk factors influencing preterm birth, maternal body mass index (BMI) has been extensively studied, yet its precise role in determining pregnan</w:t>
      </w:r>
      <w:r w:rsidRPr="005A2EE1">
        <w:rPr>
          <w:rFonts w:asciiTheme="majorBidi" w:hAnsiTheme="majorBidi" w:cstheme="majorBidi"/>
          <w:sz w:val="22"/>
          <w:szCs w:val="22"/>
        </w:rPr>
        <w:t>cy outcomes remains incompletely understood [3, 4]. Premature births are a significant health problem in terms of maternal and infant health in Pakistan, and the national surveys have shown a preterm birth rate of about 14%. Pregnancy obesity and overweigh</w:t>
      </w:r>
      <w:r w:rsidRPr="005A2EE1">
        <w:rPr>
          <w:rFonts w:asciiTheme="majorBidi" w:hAnsiTheme="majorBidi" w:cstheme="majorBidi"/>
          <w:sz w:val="22"/>
          <w:szCs w:val="22"/>
        </w:rPr>
        <w:t>t conditions have been associated with the risk of preterm births, although there is conflicting evidence on the level of the association. The world has been witnessing an upsurge in negative consequences related to the pregnancies, such as the gestational</w:t>
      </w:r>
      <w:r w:rsidRPr="005A2EE1">
        <w:rPr>
          <w:rFonts w:asciiTheme="majorBidi" w:hAnsiTheme="majorBidi" w:cstheme="majorBidi"/>
          <w:sz w:val="22"/>
          <w:szCs w:val="22"/>
        </w:rPr>
        <w:t xml:space="preserve"> diabetes, hypertensive disorders, and </w:t>
      </w:r>
      <w:r w:rsidRPr="005A2EE1">
        <w:rPr>
          <w:rFonts w:asciiTheme="majorBidi" w:hAnsiTheme="majorBidi" w:cstheme="majorBidi"/>
          <w:sz w:val="22"/>
          <w:szCs w:val="22"/>
        </w:rPr>
        <w:lastRenderedPageBreak/>
        <w:t>preterm births [5, 6]. The association between maternal overweight and preterm birth is complex and may entail metabolic dysregulation, inflammatory response, and placental dysfunction that culminate in the preterm de</w:t>
      </w:r>
      <w:r w:rsidRPr="005A2EE1">
        <w:rPr>
          <w:rFonts w:asciiTheme="majorBidi" w:hAnsiTheme="majorBidi" w:cstheme="majorBidi"/>
          <w:sz w:val="22"/>
          <w:szCs w:val="22"/>
        </w:rPr>
        <w:t xml:space="preserve">velopment of </w:t>
      </w:r>
      <w:proofErr w:type="spellStart"/>
      <w:r w:rsidRPr="005A2EE1">
        <w:rPr>
          <w:rFonts w:asciiTheme="majorBidi" w:hAnsiTheme="majorBidi" w:cstheme="majorBidi"/>
          <w:sz w:val="22"/>
          <w:szCs w:val="22"/>
        </w:rPr>
        <w:t>labour</w:t>
      </w:r>
      <w:proofErr w:type="spellEnd"/>
      <w:r w:rsidRPr="005A2EE1">
        <w:rPr>
          <w:rFonts w:asciiTheme="majorBidi" w:hAnsiTheme="majorBidi" w:cstheme="majorBidi"/>
          <w:sz w:val="22"/>
          <w:szCs w:val="22"/>
        </w:rPr>
        <w:t>. Even though literature has established evidence on the co-relation of high maternal BMI and preterm birth, the mechanism through which this occurs has been compromised [7,8].</w:t>
      </w:r>
    </w:p>
    <w:p w14:paraId="382BB61F"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Some studies have been conducted to investigate the impact o</w:t>
      </w:r>
      <w:r w:rsidRPr="005A2EE1">
        <w:rPr>
          <w:rFonts w:asciiTheme="majorBidi" w:hAnsiTheme="majorBidi" w:cstheme="majorBidi"/>
          <w:sz w:val="22"/>
          <w:szCs w:val="22"/>
        </w:rPr>
        <w:t>f pre-pregnancy BMI on preterm birth, and the results of the studies have been contradictory. The preterm birth rates have been reported to be between 8.8 and 12 percent in overweight and Obese women respectively, with some cases also reporting even higher</w:t>
      </w:r>
      <w:r w:rsidRPr="005A2EE1">
        <w:rPr>
          <w:rFonts w:asciiTheme="majorBidi" w:hAnsiTheme="majorBidi" w:cstheme="majorBidi"/>
          <w:sz w:val="22"/>
          <w:szCs w:val="22"/>
        </w:rPr>
        <w:t xml:space="preserve"> rate in women with severe obesity [9, 10]. These results emphasize the importance of additional research, especially among South Asia populations, whose BMI cutoffs are not consistent with the global standards as a result of regional body compositions and</w:t>
      </w:r>
      <w:r w:rsidRPr="005A2EE1">
        <w:rPr>
          <w:rFonts w:asciiTheme="majorBidi" w:hAnsiTheme="majorBidi" w:cstheme="majorBidi"/>
          <w:sz w:val="22"/>
          <w:szCs w:val="22"/>
        </w:rPr>
        <w:t xml:space="preserve"> metabolic risk factors. The necessity to identify high-risk populations according to BMI is crucial because earlier identification would result in targeted interventions, individual counselling, and preventive measures, which may result in better mothers </w:t>
      </w:r>
      <w:r w:rsidRPr="005A2EE1">
        <w:rPr>
          <w:rFonts w:asciiTheme="majorBidi" w:hAnsiTheme="majorBidi" w:cstheme="majorBidi"/>
          <w:sz w:val="22"/>
          <w:szCs w:val="22"/>
        </w:rPr>
        <w:t>and baby outcomes [11,12].</w:t>
      </w:r>
    </w:p>
    <w:p w14:paraId="7FF6826C"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Despite the expanding corpus of scholarly research on this subject, empirical evidence regarding the correlation between maternal overweight and obesity and the incidence of preterm birth in Pakistan remains sparse. Comprehending</w:t>
      </w:r>
      <w:r w:rsidRPr="005A2EE1">
        <w:rPr>
          <w:rFonts w:asciiTheme="majorBidi" w:hAnsiTheme="majorBidi" w:cstheme="majorBidi"/>
          <w:sz w:val="22"/>
          <w:szCs w:val="22"/>
        </w:rPr>
        <w:t xml:space="preserve"> this association within the context of the local demographic is imperative for the formulation of evidence-based clinical protocols and public health initiatives aimed at mitigating preterm birth prevalence. This investigation endeavors to fill this void </w:t>
      </w:r>
      <w:r w:rsidRPr="005A2EE1">
        <w:rPr>
          <w:rFonts w:asciiTheme="majorBidi" w:hAnsiTheme="majorBidi" w:cstheme="majorBidi"/>
          <w:sz w:val="22"/>
          <w:szCs w:val="22"/>
        </w:rPr>
        <w:t>by assessing the incidence of preterm birth among expectant mothers exhibiting a Body Mass Index (BMI) of 23.0 kg/m² and higher, and by contrasting the relative risk between those categorized as overweight and those classified as obese. The results will be</w:t>
      </w:r>
      <w:r w:rsidRPr="005A2EE1">
        <w:rPr>
          <w:rFonts w:asciiTheme="majorBidi" w:hAnsiTheme="majorBidi" w:cstheme="majorBidi"/>
          <w:sz w:val="22"/>
          <w:szCs w:val="22"/>
        </w:rPr>
        <w:t xml:space="preserve"> </w:t>
      </w:r>
      <w:r w:rsidRPr="005A2EE1">
        <w:rPr>
          <w:rFonts w:asciiTheme="majorBidi" w:hAnsiTheme="majorBidi" w:cstheme="majorBidi"/>
          <w:sz w:val="22"/>
          <w:szCs w:val="22"/>
        </w:rPr>
        <w:lastRenderedPageBreak/>
        <w:t>used to enhance a deeper comprehension of how maternal weight affects adverse pregnancy outcomes, which will eventually guide healthcare practitioners to adopt more effective antenatal care processes [13,14].</w:t>
      </w:r>
    </w:p>
    <w:p w14:paraId="2EF66E29" w14:textId="77777777" w:rsidR="00AC34D5" w:rsidRPr="005A2EE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rPr>
        <w:t>METHODOLOGY</w:t>
      </w:r>
    </w:p>
    <w:p w14:paraId="3EECD75D"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 xml:space="preserve">This investigation was conducted between December 2024 to June 2025 at the Department of Obstetrics and </w:t>
      </w:r>
      <w:proofErr w:type="spellStart"/>
      <w:r w:rsidRPr="005A2EE1">
        <w:rPr>
          <w:rFonts w:asciiTheme="majorBidi" w:hAnsiTheme="majorBidi" w:cstheme="majorBidi"/>
          <w:sz w:val="22"/>
          <w:szCs w:val="22"/>
        </w:rPr>
        <w:t>Gynaecology</w:t>
      </w:r>
      <w:proofErr w:type="spellEnd"/>
      <w:r w:rsidRPr="005A2EE1">
        <w:rPr>
          <w:rFonts w:asciiTheme="majorBidi" w:hAnsiTheme="majorBidi" w:cstheme="majorBidi"/>
          <w:sz w:val="22"/>
          <w:szCs w:val="22"/>
        </w:rPr>
        <w:t>, Jinnah Postgraduate Medical Centre (JPMC) in Karachi, employing a cross-sectional methodological framework. The study population included p</w:t>
      </w:r>
      <w:r w:rsidRPr="005A2EE1">
        <w:rPr>
          <w:rFonts w:asciiTheme="majorBidi" w:hAnsiTheme="majorBidi" w:cstheme="majorBidi"/>
          <w:sz w:val="22"/>
          <w:szCs w:val="22"/>
        </w:rPr>
        <w:t xml:space="preserve">regnant women aged 18 to 40 years, each carrying a single </w:t>
      </w:r>
      <w:proofErr w:type="spellStart"/>
      <w:r w:rsidRPr="005A2EE1">
        <w:rPr>
          <w:rFonts w:asciiTheme="majorBidi" w:hAnsiTheme="majorBidi" w:cstheme="majorBidi"/>
          <w:sz w:val="22"/>
          <w:szCs w:val="22"/>
        </w:rPr>
        <w:t>foetus</w:t>
      </w:r>
      <w:proofErr w:type="spellEnd"/>
      <w:r w:rsidRPr="005A2EE1">
        <w:rPr>
          <w:rFonts w:asciiTheme="majorBidi" w:hAnsiTheme="majorBidi" w:cstheme="majorBidi"/>
          <w:sz w:val="22"/>
          <w:szCs w:val="22"/>
        </w:rPr>
        <w:t xml:space="preserve"> and presenting between 22 and 37 weeks of gestation. Eligibility required a body mass index (BMI) of 23.0 kg/m² or higher, categorized per Asia-Pacific guidelines for pregnant women: overweig</w:t>
      </w:r>
      <w:r w:rsidRPr="005A2EE1">
        <w:rPr>
          <w:rFonts w:asciiTheme="majorBidi" w:hAnsiTheme="majorBidi" w:cstheme="majorBidi"/>
          <w:sz w:val="22"/>
          <w:szCs w:val="22"/>
        </w:rPr>
        <w:t xml:space="preserve">ht (23.0–24.9 kg/m²) and obese (≥25.0 kg/m²). BMI was computed by dividing body weight in kilograms by the square of height in meters, with both metrics obtained using calibrated equipment. Preterm birth was defined as spontaneous delivery occurring prior </w:t>
      </w:r>
      <w:r w:rsidRPr="005A2EE1">
        <w:rPr>
          <w:rFonts w:asciiTheme="majorBidi" w:hAnsiTheme="majorBidi" w:cstheme="majorBidi"/>
          <w:sz w:val="22"/>
          <w:szCs w:val="22"/>
        </w:rPr>
        <w:t>to the completion of 37 gestational weeks, verified via ultrasound. The sample size of 188 participants was determined through the WHO sample size calculator, applying a 6.4% estimated prevalence of preterm birth, a 3.5% margin of error, and a confidence l</w:t>
      </w:r>
      <w:r w:rsidRPr="005A2EE1">
        <w:rPr>
          <w:rFonts w:asciiTheme="majorBidi" w:hAnsiTheme="majorBidi" w:cstheme="majorBidi"/>
          <w:sz w:val="22"/>
          <w:szCs w:val="22"/>
        </w:rPr>
        <w:t>evel of 95%. Recruitment followed a non-probability consecutive sampling approach. Participants were excluded if they had pre-existing medical conditions such as diabetes or hypertension, complications like placenta previa or preeclampsia, or were unable t</w:t>
      </w:r>
      <w:r w:rsidRPr="005A2EE1">
        <w:rPr>
          <w:rFonts w:asciiTheme="majorBidi" w:hAnsiTheme="majorBidi" w:cstheme="majorBidi"/>
          <w:sz w:val="22"/>
          <w:szCs w:val="22"/>
        </w:rPr>
        <w:t>o accurately recall their pre-pregnancy weight. Additional exclusions included women shorter than 140 cm or weighing less than 35 kg before pregnancy. All participants provided written informed consent after being briefed about the study. Relevant clinical</w:t>
      </w:r>
      <w:r w:rsidRPr="005A2EE1">
        <w:rPr>
          <w:rFonts w:asciiTheme="majorBidi" w:hAnsiTheme="majorBidi" w:cstheme="majorBidi"/>
          <w:sz w:val="22"/>
          <w:szCs w:val="22"/>
        </w:rPr>
        <w:t xml:space="preserve"> and demographic information, including gestational age, parity, gravida, BMI, education, and residential status, </w:t>
      </w:r>
      <w:r w:rsidRPr="005A2EE1">
        <w:rPr>
          <w:rFonts w:asciiTheme="majorBidi" w:hAnsiTheme="majorBidi" w:cstheme="majorBidi"/>
          <w:sz w:val="22"/>
          <w:szCs w:val="22"/>
        </w:rPr>
        <w:lastRenderedPageBreak/>
        <w:t xml:space="preserve">was documented using a pre-structured data form. Each participant was monitored through delivery to determine whether preterm birth occurred. </w:t>
      </w:r>
      <w:r w:rsidRPr="005A2EE1">
        <w:rPr>
          <w:rFonts w:asciiTheme="majorBidi" w:hAnsiTheme="majorBidi" w:cstheme="majorBidi"/>
          <w:sz w:val="22"/>
          <w:szCs w:val="22"/>
        </w:rPr>
        <w:t>Data analysis was conducted using SPSS version 26, applying descriptive statistics and Chi-square tests to evaluate the relationship between BMI classification and preterm birth, with statistical significance set at p &lt; 0.05</w:t>
      </w:r>
    </w:p>
    <w:p w14:paraId="1F0ED4AB" w14:textId="77777777" w:rsidR="00AC34D5" w:rsidRPr="005A2EE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rPr>
        <w:t>RESULTS</w:t>
      </w:r>
    </w:p>
    <w:p w14:paraId="17015B59"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A total of 188 pregnant</w:t>
      </w:r>
      <w:r w:rsidRPr="005A2EE1">
        <w:rPr>
          <w:rFonts w:asciiTheme="majorBidi" w:hAnsiTheme="majorBidi" w:cstheme="majorBidi"/>
          <w:sz w:val="22"/>
          <w:szCs w:val="22"/>
        </w:rPr>
        <w:t xml:space="preserve"> women met the study criteria and were included in the final analysis. The participants had a mean age of 28.92 ± 3.75 years, while the mean gestational age at delivery was 34.12 ± 1.91 weeks. The average maternal weight and height were recorded as 74.43 ±</w:t>
      </w:r>
      <w:r w:rsidRPr="005A2EE1">
        <w:rPr>
          <w:rFonts w:asciiTheme="majorBidi" w:hAnsiTheme="majorBidi" w:cstheme="majorBidi"/>
          <w:sz w:val="22"/>
          <w:szCs w:val="22"/>
        </w:rPr>
        <w:t xml:space="preserve"> 8.13 kg and 157.75 ± 5.10 cm, respectively, corresponding to a mean body mass index (BMI) of 30.0 ± 3.85 kg/m². Regarding parity, 16.49% of the women were nulliparous, 29.26% primiparous, 48.94% multiparous, and 5.32% grand multiparous. In terms of gravid</w:t>
      </w:r>
      <w:r w:rsidRPr="005A2EE1">
        <w:rPr>
          <w:rFonts w:asciiTheme="majorBidi" w:hAnsiTheme="majorBidi" w:cstheme="majorBidi"/>
          <w:sz w:val="22"/>
          <w:szCs w:val="22"/>
        </w:rPr>
        <w:t>ity, 19.15% were nulligravida, 24.47% primigravida, 50.0% multigravida, and 6.38% grand multigravida. Educational attainment varied across the group: 9.04% of participants were illiterate, 34.04% had completed matriculation, 32.45% had attained intermediat</w:t>
      </w:r>
      <w:r w:rsidRPr="005A2EE1">
        <w:rPr>
          <w:rFonts w:asciiTheme="majorBidi" w:hAnsiTheme="majorBidi" w:cstheme="majorBidi"/>
          <w:sz w:val="22"/>
          <w:szCs w:val="22"/>
        </w:rPr>
        <w:t>e education, and 24.47% held a bachelor’s degree or higher qualification. A prior history of preterm delivery was reported by 15.96% of the women, whereas 84.04% had no such history. The majority of participants</w:t>
      </w:r>
    </w:p>
    <w:p w14:paraId="2A1A13CA"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 xml:space="preserve">(68.09%) resided in urban areas. Employment </w:t>
      </w:r>
      <w:r w:rsidRPr="005A2EE1">
        <w:rPr>
          <w:rFonts w:asciiTheme="majorBidi" w:hAnsiTheme="majorBidi" w:cstheme="majorBidi"/>
          <w:sz w:val="22"/>
          <w:szCs w:val="22"/>
        </w:rPr>
        <w:t xml:space="preserve">data showed that 38.30% were employed, while 61.70% were not engaged in paid work. Based on BMI categories, most participants were classified as obese (91.49%), and a smaller proportion (8.51%) were categorized as overweight </w:t>
      </w:r>
      <w:r w:rsidRPr="005A2EE1">
        <w:rPr>
          <w:rFonts w:asciiTheme="majorBidi" w:hAnsiTheme="majorBidi" w:cstheme="majorBidi"/>
          <w:b/>
          <w:sz w:val="22"/>
          <w:szCs w:val="22"/>
        </w:rPr>
        <w:t>Table I.</w:t>
      </w:r>
    </w:p>
    <w:p w14:paraId="4575F789"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Out of the 188 partici</w:t>
      </w:r>
      <w:r w:rsidRPr="005A2EE1">
        <w:rPr>
          <w:rFonts w:asciiTheme="majorBidi" w:hAnsiTheme="majorBidi" w:cstheme="majorBidi"/>
          <w:sz w:val="22"/>
          <w:szCs w:val="22"/>
        </w:rPr>
        <w:t xml:space="preserve">pants included in the study, 38 women (20.2%) experienced preterm delivery, whereas 150 (79.8%) delivered at term. The mean maternal age was marginally higher among those who delivered </w:t>
      </w:r>
      <w:r w:rsidRPr="005A2EE1">
        <w:rPr>
          <w:rFonts w:asciiTheme="majorBidi" w:hAnsiTheme="majorBidi" w:cstheme="majorBidi"/>
          <w:sz w:val="22"/>
          <w:szCs w:val="22"/>
        </w:rPr>
        <w:lastRenderedPageBreak/>
        <w:t xml:space="preserve">preterm (29.43 ± 3.64 years) compared with women who delivered at term </w:t>
      </w:r>
      <w:r w:rsidRPr="005A2EE1">
        <w:rPr>
          <w:rFonts w:asciiTheme="majorBidi" w:hAnsiTheme="majorBidi" w:cstheme="majorBidi"/>
          <w:sz w:val="22"/>
          <w:szCs w:val="22"/>
        </w:rPr>
        <w:t xml:space="preserve">(28.79 ± 3.51 years); however, this difference did not reach statistical significance (p = 0.325). Similarly, the mean gestational age at presentation showed no significant variation between the two groups (34.26 ± 1.47 vs. 34.09 ± 1.90 weeks, p = 0.601). </w:t>
      </w:r>
      <w:r w:rsidRPr="005A2EE1">
        <w:rPr>
          <w:rFonts w:asciiTheme="majorBidi" w:hAnsiTheme="majorBidi" w:cstheme="majorBidi"/>
          <w:sz w:val="22"/>
          <w:szCs w:val="22"/>
        </w:rPr>
        <w:t>In contrast, maternal BMI demonstrated a statistically significant difference, with higher mean values observed in the preterm birth group compared to the term group (31.26 ± 2.46 vs. 29.74 ± 3.20 kg/m², p =</w:t>
      </w:r>
    </w:p>
    <w:p w14:paraId="59A623BA"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0.007). No significant associations were identif</w:t>
      </w:r>
      <w:r w:rsidRPr="005A2EE1">
        <w:rPr>
          <w:rFonts w:asciiTheme="majorBidi" w:hAnsiTheme="majorBidi" w:cstheme="majorBidi"/>
          <w:sz w:val="22"/>
          <w:szCs w:val="22"/>
        </w:rPr>
        <w:t xml:space="preserve">ied between preterm birth and either residential status (p = 0.223) or occupational status (p = 0.198). Furthermore, the frequency of preterm birth did not differ significantly when comparing obese and overweight women (p = 0.334) </w:t>
      </w:r>
      <w:r w:rsidRPr="005A2EE1">
        <w:rPr>
          <w:rFonts w:asciiTheme="majorBidi" w:hAnsiTheme="majorBidi" w:cstheme="majorBidi"/>
          <w:b/>
          <w:sz w:val="22"/>
          <w:szCs w:val="22"/>
        </w:rPr>
        <w:t>Table II.</w:t>
      </w:r>
    </w:p>
    <w:tbl>
      <w:tblPr>
        <w:tblStyle w:val="TableGrid"/>
        <w:tblW w:w="9625" w:type="dxa"/>
        <w:tblInd w:w="-133" w:type="dxa"/>
        <w:tblCellMar>
          <w:top w:w="52" w:type="dxa"/>
          <w:left w:w="119" w:type="dxa"/>
          <w:right w:w="115" w:type="dxa"/>
        </w:tblCellMar>
        <w:tblLook w:val="04A0" w:firstRow="1" w:lastRow="0" w:firstColumn="1" w:lastColumn="0" w:noHBand="0" w:noVBand="1"/>
      </w:tblPr>
      <w:tblGrid>
        <w:gridCol w:w="2238"/>
        <w:gridCol w:w="1362"/>
        <w:gridCol w:w="691"/>
        <w:gridCol w:w="1701"/>
        <w:gridCol w:w="393"/>
        <w:gridCol w:w="1592"/>
        <w:gridCol w:w="1563"/>
        <w:gridCol w:w="85"/>
      </w:tblGrid>
      <w:tr w:rsidR="00AC34D5" w:rsidRPr="005A2EE1" w14:paraId="2CE57AF9" w14:textId="77777777">
        <w:trPr>
          <w:trHeight w:val="341"/>
        </w:trPr>
        <w:tc>
          <w:tcPr>
            <w:tcW w:w="9625" w:type="dxa"/>
            <w:gridSpan w:val="8"/>
            <w:tcBorders>
              <w:top w:val="single" w:sz="4" w:space="0" w:color="000000"/>
              <w:left w:val="single" w:sz="4" w:space="0" w:color="000000"/>
              <w:bottom w:val="single" w:sz="4" w:space="0" w:color="000000"/>
              <w:right w:val="single" w:sz="4" w:space="0" w:color="000000"/>
            </w:tcBorders>
          </w:tcPr>
          <w:p w14:paraId="55B5720F"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Table I: Demogr</w:t>
            </w:r>
            <w:r w:rsidRPr="005A2EE1">
              <w:rPr>
                <w:rFonts w:asciiTheme="majorBidi" w:hAnsiTheme="majorBidi" w:cstheme="majorBidi"/>
                <w:b/>
                <w:sz w:val="22"/>
                <w:szCs w:val="22"/>
              </w:rPr>
              <w:t>aphic and Clinical Characteristics of Study Participants (n=188)</w:t>
            </w:r>
          </w:p>
        </w:tc>
      </w:tr>
      <w:tr w:rsidR="00AC34D5" w:rsidRPr="005A2EE1" w14:paraId="1DA45A1D" w14:textId="77777777">
        <w:trPr>
          <w:trHeight w:val="341"/>
        </w:trPr>
        <w:tc>
          <w:tcPr>
            <w:tcW w:w="9625" w:type="dxa"/>
            <w:gridSpan w:val="8"/>
            <w:tcBorders>
              <w:top w:val="single" w:sz="4" w:space="0" w:color="000000"/>
              <w:left w:val="single" w:sz="4" w:space="0" w:color="000000"/>
              <w:bottom w:val="single" w:sz="4" w:space="0" w:color="000000"/>
              <w:right w:val="single" w:sz="4" w:space="0" w:color="000000"/>
            </w:tcBorders>
          </w:tcPr>
          <w:p w14:paraId="7AAB6DE8"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Mean ± Standard Deviation</w:t>
            </w:r>
          </w:p>
        </w:tc>
      </w:tr>
      <w:tr w:rsidR="00AC34D5" w:rsidRPr="005A2EE1" w14:paraId="3E0FA1E5" w14:textId="77777777">
        <w:trPr>
          <w:trHeight w:val="341"/>
        </w:trPr>
        <w:tc>
          <w:tcPr>
            <w:tcW w:w="9625" w:type="dxa"/>
            <w:gridSpan w:val="8"/>
            <w:tcBorders>
              <w:top w:val="single" w:sz="4" w:space="0" w:color="000000"/>
              <w:left w:val="single" w:sz="4" w:space="0" w:color="000000"/>
              <w:bottom w:val="single" w:sz="4" w:space="0" w:color="000000"/>
              <w:right w:val="single" w:sz="4" w:space="0" w:color="000000"/>
            </w:tcBorders>
          </w:tcPr>
          <w:p w14:paraId="4521D5B0"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 xml:space="preserve">Age in years = </w:t>
            </w:r>
            <w:r w:rsidRPr="005A2EE1">
              <w:rPr>
                <w:rFonts w:asciiTheme="majorBidi" w:hAnsiTheme="majorBidi" w:cstheme="majorBidi"/>
                <w:b/>
                <w:sz w:val="22"/>
                <w:szCs w:val="22"/>
              </w:rPr>
              <w:t>28.92 ± 3.75</w:t>
            </w:r>
          </w:p>
        </w:tc>
      </w:tr>
      <w:tr w:rsidR="00AC34D5" w:rsidRPr="005A2EE1" w14:paraId="5EF449BB" w14:textId="77777777">
        <w:trPr>
          <w:trHeight w:val="341"/>
        </w:trPr>
        <w:tc>
          <w:tcPr>
            <w:tcW w:w="9625" w:type="dxa"/>
            <w:gridSpan w:val="8"/>
            <w:tcBorders>
              <w:top w:val="single" w:sz="4" w:space="0" w:color="000000"/>
              <w:left w:val="single" w:sz="4" w:space="0" w:color="000000"/>
              <w:bottom w:val="single" w:sz="4" w:space="0" w:color="000000"/>
              <w:right w:val="single" w:sz="4" w:space="0" w:color="000000"/>
            </w:tcBorders>
          </w:tcPr>
          <w:p w14:paraId="78C2A9AD"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 xml:space="preserve">Gestational Age in weeks= </w:t>
            </w:r>
            <w:r w:rsidRPr="005A2EE1">
              <w:rPr>
                <w:rFonts w:asciiTheme="majorBidi" w:hAnsiTheme="majorBidi" w:cstheme="majorBidi"/>
                <w:b/>
                <w:sz w:val="22"/>
                <w:szCs w:val="22"/>
              </w:rPr>
              <w:t>34.12 ± 1.91</w:t>
            </w:r>
          </w:p>
        </w:tc>
      </w:tr>
      <w:tr w:rsidR="00AC34D5" w:rsidRPr="005A2EE1" w14:paraId="6C67A837" w14:textId="77777777">
        <w:trPr>
          <w:trHeight w:val="341"/>
        </w:trPr>
        <w:tc>
          <w:tcPr>
            <w:tcW w:w="9625" w:type="dxa"/>
            <w:gridSpan w:val="8"/>
            <w:tcBorders>
              <w:top w:val="single" w:sz="4" w:space="0" w:color="000000"/>
              <w:left w:val="single" w:sz="4" w:space="0" w:color="000000"/>
              <w:bottom w:val="single" w:sz="4" w:space="0" w:color="000000"/>
              <w:right w:val="single" w:sz="4" w:space="0" w:color="000000"/>
            </w:tcBorders>
          </w:tcPr>
          <w:p w14:paraId="5CBD7CC0"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 xml:space="preserve">Weight in kg = </w:t>
            </w:r>
            <w:r w:rsidRPr="005A2EE1">
              <w:rPr>
                <w:rFonts w:asciiTheme="majorBidi" w:hAnsiTheme="majorBidi" w:cstheme="majorBidi"/>
                <w:b/>
                <w:sz w:val="22"/>
                <w:szCs w:val="22"/>
              </w:rPr>
              <w:t>74.43 ± 8.13</w:t>
            </w:r>
          </w:p>
        </w:tc>
      </w:tr>
      <w:tr w:rsidR="00AC34D5" w:rsidRPr="005A2EE1" w14:paraId="1331246E" w14:textId="77777777">
        <w:trPr>
          <w:trHeight w:val="341"/>
        </w:trPr>
        <w:tc>
          <w:tcPr>
            <w:tcW w:w="9625" w:type="dxa"/>
            <w:gridSpan w:val="8"/>
            <w:tcBorders>
              <w:top w:val="single" w:sz="4" w:space="0" w:color="000000"/>
              <w:left w:val="single" w:sz="4" w:space="0" w:color="000000"/>
              <w:bottom w:val="single" w:sz="4" w:space="0" w:color="000000"/>
              <w:right w:val="single" w:sz="4" w:space="0" w:color="000000"/>
            </w:tcBorders>
          </w:tcPr>
          <w:p w14:paraId="5FAD3758"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 xml:space="preserve">Height in cm = </w:t>
            </w:r>
            <w:r w:rsidRPr="005A2EE1">
              <w:rPr>
                <w:rFonts w:asciiTheme="majorBidi" w:hAnsiTheme="majorBidi" w:cstheme="majorBidi"/>
                <w:b/>
                <w:sz w:val="22"/>
                <w:szCs w:val="22"/>
              </w:rPr>
              <w:t>157.75 ± 5.1</w:t>
            </w:r>
          </w:p>
        </w:tc>
      </w:tr>
      <w:tr w:rsidR="00AC34D5" w:rsidRPr="005A2EE1" w14:paraId="0161B444" w14:textId="77777777">
        <w:trPr>
          <w:trHeight w:val="341"/>
        </w:trPr>
        <w:tc>
          <w:tcPr>
            <w:tcW w:w="9625" w:type="dxa"/>
            <w:gridSpan w:val="8"/>
            <w:tcBorders>
              <w:top w:val="single" w:sz="4" w:space="0" w:color="000000"/>
              <w:left w:val="single" w:sz="4" w:space="0" w:color="000000"/>
              <w:bottom w:val="single" w:sz="4" w:space="0" w:color="000000"/>
              <w:right w:val="single" w:sz="4" w:space="0" w:color="000000"/>
            </w:tcBorders>
          </w:tcPr>
          <w:p w14:paraId="5F4F544B"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 xml:space="preserve">BMI in kg/m² = </w:t>
            </w:r>
            <w:r w:rsidRPr="005A2EE1">
              <w:rPr>
                <w:rFonts w:asciiTheme="majorBidi" w:hAnsiTheme="majorBidi" w:cstheme="majorBidi"/>
                <w:b/>
                <w:sz w:val="22"/>
                <w:szCs w:val="22"/>
              </w:rPr>
              <w:t>30.0 ± 3.85</w:t>
            </w:r>
          </w:p>
        </w:tc>
      </w:tr>
      <w:tr w:rsidR="00AC34D5" w:rsidRPr="005A2EE1" w14:paraId="5ACB8A69" w14:textId="77777777">
        <w:trPr>
          <w:trHeight w:val="303"/>
        </w:trPr>
        <w:tc>
          <w:tcPr>
            <w:tcW w:w="9625" w:type="dxa"/>
            <w:gridSpan w:val="8"/>
            <w:tcBorders>
              <w:top w:val="single" w:sz="4" w:space="0" w:color="000000"/>
              <w:left w:val="single" w:sz="4" w:space="0" w:color="000000"/>
              <w:bottom w:val="single" w:sz="4" w:space="0" w:color="000000"/>
              <w:right w:val="single" w:sz="4" w:space="0" w:color="000000"/>
            </w:tcBorders>
          </w:tcPr>
          <w:p w14:paraId="1C4D4137"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Frequency (%)</w:t>
            </w:r>
          </w:p>
        </w:tc>
      </w:tr>
      <w:tr w:rsidR="00AC34D5" w:rsidRPr="005A2EE1" w14:paraId="45262379" w14:textId="77777777">
        <w:trPr>
          <w:trHeight w:val="341"/>
        </w:trPr>
        <w:tc>
          <w:tcPr>
            <w:tcW w:w="360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4D89C2A9"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Parity</w:t>
            </w:r>
          </w:p>
        </w:tc>
        <w:tc>
          <w:tcPr>
            <w:tcW w:w="2785" w:type="dxa"/>
            <w:gridSpan w:val="3"/>
            <w:tcBorders>
              <w:top w:val="single" w:sz="4" w:space="0" w:color="000000"/>
              <w:left w:val="single" w:sz="4" w:space="0" w:color="000000"/>
              <w:bottom w:val="single" w:sz="4" w:space="0" w:color="000000"/>
              <w:right w:val="single" w:sz="4" w:space="0" w:color="000000"/>
            </w:tcBorders>
          </w:tcPr>
          <w:p w14:paraId="38FDADC1"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Nullipara</w:t>
            </w:r>
          </w:p>
        </w:tc>
        <w:tc>
          <w:tcPr>
            <w:tcW w:w="3240" w:type="dxa"/>
            <w:gridSpan w:val="3"/>
            <w:tcBorders>
              <w:top w:val="single" w:sz="4" w:space="0" w:color="000000"/>
              <w:left w:val="single" w:sz="4" w:space="0" w:color="000000"/>
              <w:bottom w:val="single" w:sz="4" w:space="0" w:color="000000"/>
              <w:right w:val="single" w:sz="4" w:space="0" w:color="000000"/>
            </w:tcBorders>
          </w:tcPr>
          <w:p w14:paraId="76FF8F37"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31 (16.49)</w:t>
            </w:r>
          </w:p>
        </w:tc>
      </w:tr>
      <w:tr w:rsidR="00AC34D5" w:rsidRPr="005A2EE1" w14:paraId="5AB26A8B" w14:textId="77777777">
        <w:trPr>
          <w:trHeight w:val="341"/>
        </w:trPr>
        <w:tc>
          <w:tcPr>
            <w:tcW w:w="0" w:type="auto"/>
            <w:gridSpan w:val="2"/>
            <w:vMerge/>
            <w:tcBorders>
              <w:top w:val="nil"/>
              <w:left w:val="single" w:sz="4" w:space="0" w:color="000000"/>
              <w:bottom w:val="nil"/>
              <w:right w:val="single" w:sz="4" w:space="0" w:color="000000"/>
            </w:tcBorders>
          </w:tcPr>
          <w:p w14:paraId="632BA169"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1BDC2BCA"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Primipara</w:t>
            </w:r>
          </w:p>
        </w:tc>
        <w:tc>
          <w:tcPr>
            <w:tcW w:w="3240" w:type="dxa"/>
            <w:gridSpan w:val="3"/>
            <w:tcBorders>
              <w:top w:val="single" w:sz="4" w:space="0" w:color="000000"/>
              <w:left w:val="single" w:sz="4" w:space="0" w:color="000000"/>
              <w:bottom w:val="single" w:sz="4" w:space="0" w:color="000000"/>
              <w:right w:val="single" w:sz="4" w:space="0" w:color="000000"/>
            </w:tcBorders>
          </w:tcPr>
          <w:p w14:paraId="68889469"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55 (29.26)</w:t>
            </w:r>
          </w:p>
        </w:tc>
      </w:tr>
      <w:tr w:rsidR="00AC34D5" w:rsidRPr="005A2EE1" w14:paraId="047E160F" w14:textId="77777777">
        <w:trPr>
          <w:trHeight w:val="341"/>
        </w:trPr>
        <w:tc>
          <w:tcPr>
            <w:tcW w:w="0" w:type="auto"/>
            <w:gridSpan w:val="2"/>
            <w:vMerge/>
            <w:tcBorders>
              <w:top w:val="nil"/>
              <w:left w:val="single" w:sz="4" w:space="0" w:color="000000"/>
              <w:bottom w:val="nil"/>
              <w:right w:val="single" w:sz="4" w:space="0" w:color="000000"/>
            </w:tcBorders>
          </w:tcPr>
          <w:p w14:paraId="09AE2DA4"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7A19A991"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Multipara</w:t>
            </w:r>
          </w:p>
        </w:tc>
        <w:tc>
          <w:tcPr>
            <w:tcW w:w="3240" w:type="dxa"/>
            <w:gridSpan w:val="3"/>
            <w:tcBorders>
              <w:top w:val="single" w:sz="4" w:space="0" w:color="000000"/>
              <w:left w:val="single" w:sz="4" w:space="0" w:color="000000"/>
              <w:bottom w:val="single" w:sz="4" w:space="0" w:color="000000"/>
              <w:right w:val="single" w:sz="4" w:space="0" w:color="000000"/>
            </w:tcBorders>
          </w:tcPr>
          <w:p w14:paraId="458B1A55"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92 (48.94)</w:t>
            </w:r>
          </w:p>
        </w:tc>
      </w:tr>
      <w:tr w:rsidR="00AC34D5" w:rsidRPr="005A2EE1" w14:paraId="4F941478" w14:textId="77777777">
        <w:trPr>
          <w:trHeight w:val="341"/>
        </w:trPr>
        <w:tc>
          <w:tcPr>
            <w:tcW w:w="0" w:type="auto"/>
            <w:gridSpan w:val="2"/>
            <w:vMerge/>
            <w:tcBorders>
              <w:top w:val="nil"/>
              <w:left w:val="single" w:sz="4" w:space="0" w:color="000000"/>
              <w:bottom w:val="single" w:sz="4" w:space="0" w:color="000000"/>
              <w:right w:val="single" w:sz="4" w:space="0" w:color="000000"/>
            </w:tcBorders>
          </w:tcPr>
          <w:p w14:paraId="7420F57E"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2F76DDE2"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Grand Multipara</w:t>
            </w:r>
          </w:p>
        </w:tc>
        <w:tc>
          <w:tcPr>
            <w:tcW w:w="3240" w:type="dxa"/>
            <w:gridSpan w:val="3"/>
            <w:tcBorders>
              <w:top w:val="single" w:sz="4" w:space="0" w:color="000000"/>
              <w:left w:val="single" w:sz="4" w:space="0" w:color="000000"/>
              <w:bottom w:val="single" w:sz="4" w:space="0" w:color="000000"/>
              <w:right w:val="single" w:sz="4" w:space="0" w:color="000000"/>
            </w:tcBorders>
          </w:tcPr>
          <w:p w14:paraId="7E2AEB5C"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10 (5.32)</w:t>
            </w:r>
          </w:p>
        </w:tc>
      </w:tr>
      <w:tr w:rsidR="00AC34D5" w:rsidRPr="005A2EE1" w14:paraId="283DEB36" w14:textId="77777777">
        <w:trPr>
          <w:trHeight w:val="341"/>
        </w:trPr>
        <w:tc>
          <w:tcPr>
            <w:tcW w:w="360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7EE216BB"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Gravida</w:t>
            </w:r>
          </w:p>
        </w:tc>
        <w:tc>
          <w:tcPr>
            <w:tcW w:w="2785" w:type="dxa"/>
            <w:gridSpan w:val="3"/>
            <w:tcBorders>
              <w:top w:val="single" w:sz="4" w:space="0" w:color="000000"/>
              <w:left w:val="single" w:sz="4" w:space="0" w:color="000000"/>
              <w:bottom w:val="single" w:sz="4" w:space="0" w:color="000000"/>
              <w:right w:val="single" w:sz="4" w:space="0" w:color="000000"/>
            </w:tcBorders>
          </w:tcPr>
          <w:p w14:paraId="428F0DA7"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Nulligravida</w:t>
            </w:r>
          </w:p>
        </w:tc>
        <w:tc>
          <w:tcPr>
            <w:tcW w:w="3240" w:type="dxa"/>
            <w:gridSpan w:val="3"/>
            <w:tcBorders>
              <w:top w:val="single" w:sz="4" w:space="0" w:color="000000"/>
              <w:left w:val="single" w:sz="4" w:space="0" w:color="000000"/>
              <w:bottom w:val="single" w:sz="4" w:space="0" w:color="000000"/>
              <w:right w:val="single" w:sz="4" w:space="0" w:color="000000"/>
            </w:tcBorders>
          </w:tcPr>
          <w:p w14:paraId="050B941E"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36 (19.15)</w:t>
            </w:r>
          </w:p>
        </w:tc>
      </w:tr>
      <w:tr w:rsidR="00AC34D5" w:rsidRPr="005A2EE1" w14:paraId="096DB919" w14:textId="77777777">
        <w:trPr>
          <w:trHeight w:val="341"/>
        </w:trPr>
        <w:tc>
          <w:tcPr>
            <w:tcW w:w="0" w:type="auto"/>
            <w:gridSpan w:val="2"/>
            <w:vMerge/>
            <w:tcBorders>
              <w:top w:val="nil"/>
              <w:left w:val="single" w:sz="4" w:space="0" w:color="000000"/>
              <w:bottom w:val="nil"/>
              <w:right w:val="single" w:sz="4" w:space="0" w:color="000000"/>
            </w:tcBorders>
          </w:tcPr>
          <w:p w14:paraId="6A7545D0"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30043C8B"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Primigravida</w:t>
            </w:r>
          </w:p>
        </w:tc>
        <w:tc>
          <w:tcPr>
            <w:tcW w:w="3240" w:type="dxa"/>
            <w:gridSpan w:val="3"/>
            <w:tcBorders>
              <w:top w:val="single" w:sz="4" w:space="0" w:color="000000"/>
              <w:left w:val="single" w:sz="4" w:space="0" w:color="000000"/>
              <w:bottom w:val="single" w:sz="4" w:space="0" w:color="000000"/>
              <w:right w:val="single" w:sz="4" w:space="0" w:color="000000"/>
            </w:tcBorders>
          </w:tcPr>
          <w:p w14:paraId="2D935D44"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46 (24.47)</w:t>
            </w:r>
          </w:p>
        </w:tc>
      </w:tr>
      <w:tr w:rsidR="00AC34D5" w:rsidRPr="005A2EE1" w14:paraId="1E31F6ED" w14:textId="77777777">
        <w:trPr>
          <w:trHeight w:val="341"/>
        </w:trPr>
        <w:tc>
          <w:tcPr>
            <w:tcW w:w="0" w:type="auto"/>
            <w:gridSpan w:val="2"/>
            <w:vMerge/>
            <w:tcBorders>
              <w:top w:val="nil"/>
              <w:left w:val="single" w:sz="4" w:space="0" w:color="000000"/>
              <w:bottom w:val="nil"/>
              <w:right w:val="single" w:sz="4" w:space="0" w:color="000000"/>
            </w:tcBorders>
          </w:tcPr>
          <w:p w14:paraId="51629AD2"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4EDA409B"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Multigravida</w:t>
            </w:r>
          </w:p>
        </w:tc>
        <w:tc>
          <w:tcPr>
            <w:tcW w:w="3240" w:type="dxa"/>
            <w:gridSpan w:val="3"/>
            <w:tcBorders>
              <w:top w:val="single" w:sz="4" w:space="0" w:color="000000"/>
              <w:left w:val="single" w:sz="4" w:space="0" w:color="000000"/>
              <w:bottom w:val="single" w:sz="4" w:space="0" w:color="000000"/>
              <w:right w:val="single" w:sz="4" w:space="0" w:color="000000"/>
            </w:tcBorders>
          </w:tcPr>
          <w:p w14:paraId="25ED5DBE"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94 (50.0)</w:t>
            </w:r>
          </w:p>
        </w:tc>
      </w:tr>
      <w:tr w:rsidR="00AC34D5" w:rsidRPr="005A2EE1" w14:paraId="4ED43835" w14:textId="77777777">
        <w:trPr>
          <w:trHeight w:val="341"/>
        </w:trPr>
        <w:tc>
          <w:tcPr>
            <w:tcW w:w="0" w:type="auto"/>
            <w:gridSpan w:val="2"/>
            <w:vMerge/>
            <w:tcBorders>
              <w:top w:val="nil"/>
              <w:left w:val="single" w:sz="4" w:space="0" w:color="000000"/>
              <w:bottom w:val="single" w:sz="4" w:space="0" w:color="000000"/>
              <w:right w:val="single" w:sz="4" w:space="0" w:color="000000"/>
            </w:tcBorders>
          </w:tcPr>
          <w:p w14:paraId="7DDA9EB6"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4707AA4C"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Grand Multigravida</w:t>
            </w:r>
          </w:p>
        </w:tc>
        <w:tc>
          <w:tcPr>
            <w:tcW w:w="3240" w:type="dxa"/>
            <w:gridSpan w:val="3"/>
            <w:tcBorders>
              <w:top w:val="single" w:sz="4" w:space="0" w:color="000000"/>
              <w:left w:val="single" w:sz="4" w:space="0" w:color="000000"/>
              <w:bottom w:val="single" w:sz="4" w:space="0" w:color="000000"/>
              <w:right w:val="single" w:sz="4" w:space="0" w:color="000000"/>
            </w:tcBorders>
          </w:tcPr>
          <w:p w14:paraId="0C1CFAF5"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12 (6.38)</w:t>
            </w:r>
          </w:p>
        </w:tc>
      </w:tr>
      <w:tr w:rsidR="00AC34D5" w:rsidRPr="005A2EE1" w14:paraId="3AFF3815" w14:textId="77777777">
        <w:trPr>
          <w:trHeight w:val="341"/>
        </w:trPr>
        <w:tc>
          <w:tcPr>
            <w:tcW w:w="360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E7D33BA"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Maternal Education</w:t>
            </w:r>
          </w:p>
        </w:tc>
        <w:tc>
          <w:tcPr>
            <w:tcW w:w="2785" w:type="dxa"/>
            <w:gridSpan w:val="3"/>
            <w:tcBorders>
              <w:top w:val="single" w:sz="4" w:space="0" w:color="000000"/>
              <w:left w:val="single" w:sz="4" w:space="0" w:color="000000"/>
              <w:bottom w:val="single" w:sz="4" w:space="0" w:color="000000"/>
              <w:right w:val="single" w:sz="4" w:space="0" w:color="000000"/>
            </w:tcBorders>
          </w:tcPr>
          <w:p w14:paraId="643644AE"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Illiterate</w:t>
            </w:r>
          </w:p>
        </w:tc>
        <w:tc>
          <w:tcPr>
            <w:tcW w:w="3240" w:type="dxa"/>
            <w:gridSpan w:val="3"/>
            <w:tcBorders>
              <w:top w:val="single" w:sz="4" w:space="0" w:color="000000"/>
              <w:left w:val="single" w:sz="4" w:space="0" w:color="000000"/>
              <w:bottom w:val="single" w:sz="4" w:space="0" w:color="000000"/>
              <w:right w:val="single" w:sz="4" w:space="0" w:color="000000"/>
            </w:tcBorders>
          </w:tcPr>
          <w:p w14:paraId="10F5A673"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17 (9.04)</w:t>
            </w:r>
          </w:p>
        </w:tc>
      </w:tr>
      <w:tr w:rsidR="00AC34D5" w:rsidRPr="005A2EE1" w14:paraId="13A06B4E" w14:textId="77777777">
        <w:trPr>
          <w:trHeight w:val="341"/>
        </w:trPr>
        <w:tc>
          <w:tcPr>
            <w:tcW w:w="0" w:type="auto"/>
            <w:gridSpan w:val="2"/>
            <w:vMerge/>
            <w:tcBorders>
              <w:top w:val="nil"/>
              <w:left w:val="single" w:sz="4" w:space="0" w:color="000000"/>
              <w:bottom w:val="nil"/>
              <w:right w:val="single" w:sz="4" w:space="0" w:color="000000"/>
            </w:tcBorders>
          </w:tcPr>
          <w:p w14:paraId="6C176135"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57F91774"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Up to Matriculation</w:t>
            </w:r>
          </w:p>
        </w:tc>
        <w:tc>
          <w:tcPr>
            <w:tcW w:w="3240" w:type="dxa"/>
            <w:gridSpan w:val="3"/>
            <w:tcBorders>
              <w:top w:val="single" w:sz="4" w:space="0" w:color="000000"/>
              <w:left w:val="single" w:sz="4" w:space="0" w:color="000000"/>
              <w:bottom w:val="single" w:sz="4" w:space="0" w:color="000000"/>
              <w:right w:val="single" w:sz="4" w:space="0" w:color="000000"/>
            </w:tcBorders>
          </w:tcPr>
          <w:p w14:paraId="0A0597E2"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64 (34.04)</w:t>
            </w:r>
          </w:p>
        </w:tc>
      </w:tr>
      <w:tr w:rsidR="00AC34D5" w:rsidRPr="005A2EE1" w14:paraId="7DCE3240" w14:textId="77777777">
        <w:trPr>
          <w:trHeight w:val="341"/>
        </w:trPr>
        <w:tc>
          <w:tcPr>
            <w:tcW w:w="0" w:type="auto"/>
            <w:gridSpan w:val="2"/>
            <w:vMerge/>
            <w:tcBorders>
              <w:top w:val="nil"/>
              <w:left w:val="single" w:sz="4" w:space="0" w:color="000000"/>
              <w:bottom w:val="nil"/>
              <w:right w:val="single" w:sz="4" w:space="0" w:color="000000"/>
            </w:tcBorders>
          </w:tcPr>
          <w:p w14:paraId="0C415DA4"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42B208F0"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Intermediate</w:t>
            </w:r>
          </w:p>
        </w:tc>
        <w:tc>
          <w:tcPr>
            <w:tcW w:w="3240" w:type="dxa"/>
            <w:gridSpan w:val="3"/>
            <w:tcBorders>
              <w:top w:val="single" w:sz="4" w:space="0" w:color="000000"/>
              <w:left w:val="single" w:sz="4" w:space="0" w:color="000000"/>
              <w:bottom w:val="single" w:sz="4" w:space="0" w:color="000000"/>
              <w:right w:val="single" w:sz="4" w:space="0" w:color="000000"/>
            </w:tcBorders>
          </w:tcPr>
          <w:p w14:paraId="430DA70B"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61 (32.45)</w:t>
            </w:r>
          </w:p>
        </w:tc>
      </w:tr>
      <w:tr w:rsidR="00AC34D5" w:rsidRPr="005A2EE1" w14:paraId="1D1B14D5" w14:textId="77777777">
        <w:trPr>
          <w:trHeight w:val="341"/>
        </w:trPr>
        <w:tc>
          <w:tcPr>
            <w:tcW w:w="0" w:type="auto"/>
            <w:gridSpan w:val="2"/>
            <w:vMerge/>
            <w:tcBorders>
              <w:top w:val="nil"/>
              <w:left w:val="single" w:sz="4" w:space="0" w:color="000000"/>
              <w:bottom w:val="single" w:sz="4" w:space="0" w:color="000000"/>
              <w:right w:val="single" w:sz="4" w:space="0" w:color="000000"/>
            </w:tcBorders>
          </w:tcPr>
          <w:p w14:paraId="6A6AB89C"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1B392027"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Bachelor’s or above</w:t>
            </w:r>
          </w:p>
        </w:tc>
        <w:tc>
          <w:tcPr>
            <w:tcW w:w="3240" w:type="dxa"/>
            <w:gridSpan w:val="3"/>
            <w:tcBorders>
              <w:top w:val="single" w:sz="4" w:space="0" w:color="000000"/>
              <w:left w:val="single" w:sz="4" w:space="0" w:color="000000"/>
              <w:bottom w:val="single" w:sz="4" w:space="0" w:color="000000"/>
              <w:right w:val="single" w:sz="4" w:space="0" w:color="000000"/>
            </w:tcBorders>
          </w:tcPr>
          <w:p w14:paraId="799325B9"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46 (24.47)</w:t>
            </w:r>
          </w:p>
        </w:tc>
      </w:tr>
      <w:tr w:rsidR="00AC34D5" w:rsidRPr="005A2EE1" w14:paraId="398C335A" w14:textId="77777777">
        <w:trPr>
          <w:trHeight w:val="341"/>
        </w:trPr>
        <w:tc>
          <w:tcPr>
            <w:tcW w:w="360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2FAF523"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Previous Preterm Birth</w:t>
            </w:r>
          </w:p>
        </w:tc>
        <w:tc>
          <w:tcPr>
            <w:tcW w:w="2785" w:type="dxa"/>
            <w:gridSpan w:val="3"/>
            <w:tcBorders>
              <w:top w:val="single" w:sz="4" w:space="0" w:color="000000"/>
              <w:left w:val="single" w:sz="4" w:space="0" w:color="000000"/>
              <w:bottom w:val="single" w:sz="4" w:space="0" w:color="000000"/>
              <w:right w:val="single" w:sz="4" w:space="0" w:color="000000"/>
            </w:tcBorders>
          </w:tcPr>
          <w:p w14:paraId="609B1DAC"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Yes</w:t>
            </w:r>
          </w:p>
        </w:tc>
        <w:tc>
          <w:tcPr>
            <w:tcW w:w="3240" w:type="dxa"/>
            <w:gridSpan w:val="3"/>
            <w:tcBorders>
              <w:top w:val="single" w:sz="4" w:space="0" w:color="000000"/>
              <w:left w:val="single" w:sz="4" w:space="0" w:color="000000"/>
              <w:bottom w:val="single" w:sz="4" w:space="0" w:color="000000"/>
              <w:right w:val="single" w:sz="4" w:space="0" w:color="000000"/>
            </w:tcBorders>
          </w:tcPr>
          <w:p w14:paraId="39CE4725"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30 (15.96)</w:t>
            </w:r>
          </w:p>
        </w:tc>
      </w:tr>
      <w:tr w:rsidR="00AC34D5" w:rsidRPr="005A2EE1" w14:paraId="7FF72F9B" w14:textId="77777777">
        <w:trPr>
          <w:trHeight w:val="341"/>
        </w:trPr>
        <w:tc>
          <w:tcPr>
            <w:tcW w:w="0" w:type="auto"/>
            <w:gridSpan w:val="2"/>
            <w:vMerge/>
            <w:tcBorders>
              <w:top w:val="nil"/>
              <w:left w:val="single" w:sz="4" w:space="0" w:color="000000"/>
              <w:bottom w:val="single" w:sz="4" w:space="0" w:color="000000"/>
              <w:right w:val="single" w:sz="4" w:space="0" w:color="000000"/>
            </w:tcBorders>
          </w:tcPr>
          <w:p w14:paraId="529AE686"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1B8A92ED"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No</w:t>
            </w:r>
          </w:p>
        </w:tc>
        <w:tc>
          <w:tcPr>
            <w:tcW w:w="3240" w:type="dxa"/>
            <w:gridSpan w:val="3"/>
            <w:tcBorders>
              <w:top w:val="single" w:sz="4" w:space="0" w:color="000000"/>
              <w:left w:val="single" w:sz="4" w:space="0" w:color="000000"/>
              <w:bottom w:val="single" w:sz="4" w:space="0" w:color="000000"/>
              <w:right w:val="single" w:sz="4" w:space="0" w:color="000000"/>
            </w:tcBorders>
          </w:tcPr>
          <w:p w14:paraId="2E334552"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158 (84.04)</w:t>
            </w:r>
          </w:p>
        </w:tc>
      </w:tr>
      <w:tr w:rsidR="00AC34D5" w:rsidRPr="005A2EE1" w14:paraId="3E21194F" w14:textId="77777777">
        <w:trPr>
          <w:trHeight w:val="341"/>
        </w:trPr>
        <w:tc>
          <w:tcPr>
            <w:tcW w:w="360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48EA3ED3"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Residential Status</w:t>
            </w:r>
          </w:p>
        </w:tc>
        <w:tc>
          <w:tcPr>
            <w:tcW w:w="2785" w:type="dxa"/>
            <w:gridSpan w:val="3"/>
            <w:tcBorders>
              <w:top w:val="single" w:sz="4" w:space="0" w:color="000000"/>
              <w:left w:val="single" w:sz="4" w:space="0" w:color="000000"/>
              <w:bottom w:val="single" w:sz="4" w:space="0" w:color="000000"/>
              <w:right w:val="single" w:sz="4" w:space="0" w:color="000000"/>
            </w:tcBorders>
          </w:tcPr>
          <w:p w14:paraId="5D7905AF"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Urban</w:t>
            </w:r>
          </w:p>
        </w:tc>
        <w:tc>
          <w:tcPr>
            <w:tcW w:w="3240" w:type="dxa"/>
            <w:gridSpan w:val="3"/>
            <w:tcBorders>
              <w:top w:val="single" w:sz="4" w:space="0" w:color="000000"/>
              <w:left w:val="single" w:sz="4" w:space="0" w:color="000000"/>
              <w:bottom w:val="single" w:sz="4" w:space="0" w:color="000000"/>
              <w:right w:val="single" w:sz="4" w:space="0" w:color="000000"/>
            </w:tcBorders>
          </w:tcPr>
          <w:p w14:paraId="06DBED09"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128 (68.09)</w:t>
            </w:r>
          </w:p>
        </w:tc>
      </w:tr>
      <w:tr w:rsidR="00AC34D5" w:rsidRPr="005A2EE1" w14:paraId="62A85187" w14:textId="77777777">
        <w:trPr>
          <w:trHeight w:val="341"/>
        </w:trPr>
        <w:tc>
          <w:tcPr>
            <w:tcW w:w="0" w:type="auto"/>
            <w:gridSpan w:val="2"/>
            <w:vMerge/>
            <w:tcBorders>
              <w:top w:val="nil"/>
              <w:left w:val="single" w:sz="4" w:space="0" w:color="000000"/>
              <w:bottom w:val="single" w:sz="4" w:space="0" w:color="000000"/>
              <w:right w:val="single" w:sz="4" w:space="0" w:color="000000"/>
            </w:tcBorders>
          </w:tcPr>
          <w:p w14:paraId="16D4B788"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799188FC"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Rural</w:t>
            </w:r>
          </w:p>
        </w:tc>
        <w:tc>
          <w:tcPr>
            <w:tcW w:w="3240" w:type="dxa"/>
            <w:gridSpan w:val="3"/>
            <w:tcBorders>
              <w:top w:val="single" w:sz="4" w:space="0" w:color="000000"/>
              <w:left w:val="single" w:sz="4" w:space="0" w:color="000000"/>
              <w:bottom w:val="single" w:sz="4" w:space="0" w:color="000000"/>
              <w:right w:val="single" w:sz="4" w:space="0" w:color="000000"/>
            </w:tcBorders>
          </w:tcPr>
          <w:p w14:paraId="5F412EAB"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60 (31.91)</w:t>
            </w:r>
          </w:p>
        </w:tc>
      </w:tr>
      <w:tr w:rsidR="00AC34D5" w:rsidRPr="005A2EE1" w14:paraId="7A2B35B6" w14:textId="77777777">
        <w:trPr>
          <w:trHeight w:val="339"/>
        </w:trPr>
        <w:tc>
          <w:tcPr>
            <w:tcW w:w="3600" w:type="dxa"/>
            <w:gridSpan w:val="2"/>
            <w:tcBorders>
              <w:top w:val="single" w:sz="4" w:space="0" w:color="000000"/>
              <w:left w:val="single" w:sz="4" w:space="0" w:color="000000"/>
              <w:bottom w:val="single" w:sz="4" w:space="0" w:color="000000"/>
              <w:right w:val="single" w:sz="4" w:space="0" w:color="000000"/>
            </w:tcBorders>
          </w:tcPr>
          <w:p w14:paraId="6E4C8819"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Occupational Status</w:t>
            </w:r>
          </w:p>
        </w:tc>
        <w:tc>
          <w:tcPr>
            <w:tcW w:w="2785" w:type="dxa"/>
            <w:gridSpan w:val="3"/>
            <w:tcBorders>
              <w:top w:val="single" w:sz="4" w:space="0" w:color="000000"/>
              <w:left w:val="single" w:sz="4" w:space="0" w:color="000000"/>
              <w:bottom w:val="single" w:sz="4" w:space="0" w:color="000000"/>
              <w:right w:val="single" w:sz="4" w:space="0" w:color="000000"/>
            </w:tcBorders>
          </w:tcPr>
          <w:p w14:paraId="090E220B"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Employed</w:t>
            </w:r>
          </w:p>
        </w:tc>
        <w:tc>
          <w:tcPr>
            <w:tcW w:w="3240" w:type="dxa"/>
            <w:gridSpan w:val="3"/>
            <w:tcBorders>
              <w:top w:val="single" w:sz="4" w:space="0" w:color="000000"/>
              <w:left w:val="single" w:sz="4" w:space="0" w:color="000000"/>
              <w:bottom w:val="single" w:sz="4" w:space="0" w:color="000000"/>
              <w:right w:val="single" w:sz="4" w:space="0" w:color="000000"/>
            </w:tcBorders>
          </w:tcPr>
          <w:p w14:paraId="7E3CB651"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72 (38.30)</w:t>
            </w:r>
          </w:p>
        </w:tc>
      </w:tr>
      <w:tr w:rsidR="00AC34D5" w:rsidRPr="005A2EE1" w14:paraId="320D505C" w14:textId="77777777">
        <w:trPr>
          <w:trHeight w:val="341"/>
        </w:trPr>
        <w:tc>
          <w:tcPr>
            <w:tcW w:w="3600" w:type="dxa"/>
            <w:gridSpan w:val="2"/>
            <w:tcBorders>
              <w:top w:val="single" w:sz="4" w:space="0" w:color="000000"/>
              <w:left w:val="single" w:sz="4" w:space="0" w:color="000000"/>
              <w:bottom w:val="single" w:sz="4" w:space="0" w:color="000000"/>
              <w:right w:val="single" w:sz="4" w:space="0" w:color="000000"/>
            </w:tcBorders>
          </w:tcPr>
          <w:p w14:paraId="66B883B9"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4FA22CBE"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Unemployed</w:t>
            </w:r>
          </w:p>
        </w:tc>
        <w:tc>
          <w:tcPr>
            <w:tcW w:w="3240" w:type="dxa"/>
            <w:gridSpan w:val="3"/>
            <w:tcBorders>
              <w:top w:val="single" w:sz="4" w:space="0" w:color="000000"/>
              <w:left w:val="single" w:sz="4" w:space="0" w:color="000000"/>
              <w:bottom w:val="single" w:sz="4" w:space="0" w:color="000000"/>
              <w:right w:val="single" w:sz="4" w:space="0" w:color="000000"/>
            </w:tcBorders>
          </w:tcPr>
          <w:p w14:paraId="1B9B5B61"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116 (61.70)</w:t>
            </w:r>
          </w:p>
        </w:tc>
      </w:tr>
      <w:tr w:rsidR="00AC34D5" w:rsidRPr="005A2EE1" w14:paraId="6BF9E8FA" w14:textId="77777777">
        <w:trPr>
          <w:trHeight w:val="341"/>
        </w:trPr>
        <w:tc>
          <w:tcPr>
            <w:tcW w:w="360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43D0B522"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BMI Status</w:t>
            </w:r>
          </w:p>
        </w:tc>
        <w:tc>
          <w:tcPr>
            <w:tcW w:w="2785" w:type="dxa"/>
            <w:gridSpan w:val="3"/>
            <w:tcBorders>
              <w:top w:val="single" w:sz="4" w:space="0" w:color="000000"/>
              <w:left w:val="single" w:sz="4" w:space="0" w:color="000000"/>
              <w:bottom w:val="single" w:sz="4" w:space="0" w:color="000000"/>
              <w:right w:val="single" w:sz="4" w:space="0" w:color="000000"/>
            </w:tcBorders>
          </w:tcPr>
          <w:p w14:paraId="38C1BFC8"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Obese</w:t>
            </w:r>
          </w:p>
        </w:tc>
        <w:tc>
          <w:tcPr>
            <w:tcW w:w="3240" w:type="dxa"/>
            <w:gridSpan w:val="3"/>
            <w:tcBorders>
              <w:top w:val="single" w:sz="4" w:space="0" w:color="000000"/>
              <w:left w:val="single" w:sz="4" w:space="0" w:color="000000"/>
              <w:bottom w:val="single" w:sz="4" w:space="0" w:color="000000"/>
              <w:right w:val="single" w:sz="4" w:space="0" w:color="000000"/>
            </w:tcBorders>
          </w:tcPr>
          <w:p w14:paraId="7BE71ABE"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172 (91.49)</w:t>
            </w:r>
          </w:p>
        </w:tc>
      </w:tr>
      <w:tr w:rsidR="00AC34D5" w:rsidRPr="005A2EE1" w14:paraId="73FE0BF1" w14:textId="77777777">
        <w:trPr>
          <w:trHeight w:val="341"/>
        </w:trPr>
        <w:tc>
          <w:tcPr>
            <w:tcW w:w="0" w:type="auto"/>
            <w:gridSpan w:val="2"/>
            <w:vMerge/>
            <w:tcBorders>
              <w:top w:val="nil"/>
              <w:left w:val="single" w:sz="4" w:space="0" w:color="000000"/>
              <w:bottom w:val="single" w:sz="4" w:space="0" w:color="000000"/>
              <w:right w:val="single" w:sz="4" w:space="0" w:color="000000"/>
            </w:tcBorders>
          </w:tcPr>
          <w:p w14:paraId="6D6BA5B2"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785" w:type="dxa"/>
            <w:gridSpan w:val="3"/>
            <w:tcBorders>
              <w:top w:val="single" w:sz="4" w:space="0" w:color="000000"/>
              <w:left w:val="single" w:sz="4" w:space="0" w:color="000000"/>
              <w:bottom w:val="single" w:sz="4" w:space="0" w:color="000000"/>
              <w:right w:val="single" w:sz="4" w:space="0" w:color="000000"/>
            </w:tcBorders>
          </w:tcPr>
          <w:p w14:paraId="55C086A3"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Overweight</w:t>
            </w:r>
          </w:p>
        </w:tc>
        <w:tc>
          <w:tcPr>
            <w:tcW w:w="3240" w:type="dxa"/>
            <w:gridSpan w:val="3"/>
            <w:tcBorders>
              <w:top w:val="single" w:sz="4" w:space="0" w:color="000000"/>
              <w:left w:val="single" w:sz="4" w:space="0" w:color="000000"/>
              <w:bottom w:val="single" w:sz="4" w:space="0" w:color="000000"/>
              <w:right w:val="single" w:sz="4" w:space="0" w:color="000000"/>
            </w:tcBorders>
          </w:tcPr>
          <w:p w14:paraId="55FA077C" w14:textId="77777777" w:rsidR="00AC34D5" w:rsidRPr="005A2EE1" w:rsidRDefault="00470BE4" w:rsidP="009F2E1F">
            <w:pPr>
              <w:spacing w:line="480" w:lineRule="auto"/>
              <w:ind w:left="1" w:firstLine="0"/>
              <w:jc w:val="both"/>
              <w:rPr>
                <w:rFonts w:asciiTheme="majorBidi" w:hAnsiTheme="majorBidi" w:cstheme="majorBidi"/>
                <w:sz w:val="22"/>
                <w:szCs w:val="22"/>
              </w:rPr>
            </w:pPr>
            <w:r w:rsidRPr="005A2EE1">
              <w:rPr>
                <w:rFonts w:asciiTheme="majorBidi" w:hAnsiTheme="majorBidi" w:cstheme="majorBidi"/>
                <w:sz w:val="22"/>
                <w:szCs w:val="22"/>
              </w:rPr>
              <w:t>16 (8.51)</w:t>
            </w:r>
          </w:p>
        </w:tc>
      </w:tr>
      <w:tr w:rsidR="00AC34D5" w:rsidRPr="005A2EE1" w14:paraId="196106D5" w14:textId="77777777">
        <w:tblPrEx>
          <w:tblCellMar>
            <w:top w:w="0" w:type="dxa"/>
            <w:left w:w="49" w:type="dxa"/>
          </w:tblCellMar>
        </w:tblPrEx>
        <w:trPr>
          <w:gridAfter w:val="1"/>
          <w:wAfter w:w="85" w:type="dxa"/>
          <w:trHeight w:val="421"/>
        </w:trPr>
        <w:tc>
          <w:tcPr>
            <w:tcW w:w="9540" w:type="dxa"/>
            <w:gridSpan w:val="7"/>
            <w:tcBorders>
              <w:top w:val="single" w:sz="4" w:space="0" w:color="000000"/>
              <w:left w:val="single" w:sz="4" w:space="0" w:color="000000"/>
              <w:bottom w:val="single" w:sz="4" w:space="0" w:color="000000"/>
              <w:right w:val="single" w:sz="4" w:space="0" w:color="000000"/>
            </w:tcBorders>
          </w:tcPr>
          <w:p w14:paraId="741D0BF7"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lastRenderedPageBreak/>
              <w:t>Table II: Comparison of Maternal Characteristics Between Preterm Birth (n=188)</w:t>
            </w:r>
          </w:p>
        </w:tc>
      </w:tr>
      <w:tr w:rsidR="00AC34D5" w:rsidRPr="005A2EE1" w14:paraId="7A0DEC35" w14:textId="77777777">
        <w:tblPrEx>
          <w:tblCellMar>
            <w:top w:w="0" w:type="dxa"/>
            <w:left w:w="49" w:type="dxa"/>
          </w:tblCellMar>
        </w:tblPrEx>
        <w:trPr>
          <w:gridAfter w:val="1"/>
          <w:wAfter w:w="85" w:type="dxa"/>
          <w:trHeight w:val="421"/>
        </w:trPr>
        <w:tc>
          <w:tcPr>
            <w:tcW w:w="4291" w:type="dxa"/>
            <w:gridSpan w:val="3"/>
            <w:vMerge w:val="restart"/>
            <w:tcBorders>
              <w:top w:val="single" w:sz="4" w:space="0" w:color="000000"/>
              <w:left w:val="single" w:sz="4" w:space="0" w:color="000000"/>
              <w:bottom w:val="nil"/>
              <w:right w:val="single" w:sz="4" w:space="0" w:color="000000"/>
            </w:tcBorders>
            <w:vAlign w:val="bottom"/>
          </w:tcPr>
          <w:p w14:paraId="3A4FD5D9"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Maternal Characteristics</w:t>
            </w:r>
          </w:p>
        </w:tc>
        <w:tc>
          <w:tcPr>
            <w:tcW w:w="3686" w:type="dxa"/>
            <w:gridSpan w:val="3"/>
            <w:tcBorders>
              <w:top w:val="single" w:sz="4" w:space="0" w:color="000000"/>
              <w:left w:val="single" w:sz="4" w:space="0" w:color="000000"/>
              <w:bottom w:val="single" w:sz="4" w:space="0" w:color="000000"/>
              <w:right w:val="single" w:sz="4" w:space="0" w:color="000000"/>
            </w:tcBorders>
          </w:tcPr>
          <w:p w14:paraId="23CBAFB7"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b/>
                <w:sz w:val="22"/>
                <w:szCs w:val="22"/>
              </w:rPr>
              <w:t>Preterm Birth</w:t>
            </w:r>
          </w:p>
        </w:tc>
        <w:tc>
          <w:tcPr>
            <w:tcW w:w="1563" w:type="dxa"/>
            <w:vMerge w:val="restart"/>
            <w:tcBorders>
              <w:top w:val="single" w:sz="4" w:space="0" w:color="000000"/>
              <w:left w:val="single" w:sz="4" w:space="0" w:color="000000"/>
              <w:bottom w:val="nil"/>
              <w:right w:val="single" w:sz="4" w:space="0" w:color="000000"/>
            </w:tcBorders>
            <w:vAlign w:val="bottom"/>
          </w:tcPr>
          <w:p w14:paraId="5820B6B4"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b/>
                <w:sz w:val="22"/>
                <w:szCs w:val="22"/>
              </w:rPr>
              <w:t>P-Value</w:t>
            </w:r>
          </w:p>
        </w:tc>
      </w:tr>
      <w:tr w:rsidR="00AC34D5" w:rsidRPr="005A2EE1" w14:paraId="1E80E265" w14:textId="77777777">
        <w:tblPrEx>
          <w:tblCellMar>
            <w:top w:w="0" w:type="dxa"/>
            <w:left w:w="49" w:type="dxa"/>
          </w:tblCellMar>
        </w:tblPrEx>
        <w:trPr>
          <w:gridAfter w:val="1"/>
          <w:wAfter w:w="85" w:type="dxa"/>
          <w:trHeight w:val="126"/>
        </w:trPr>
        <w:tc>
          <w:tcPr>
            <w:tcW w:w="0" w:type="auto"/>
            <w:gridSpan w:val="3"/>
            <w:vMerge/>
            <w:tcBorders>
              <w:top w:val="nil"/>
              <w:left w:val="single" w:sz="4" w:space="0" w:color="000000"/>
              <w:bottom w:val="nil"/>
              <w:right w:val="single" w:sz="4" w:space="0" w:color="000000"/>
            </w:tcBorders>
          </w:tcPr>
          <w:p w14:paraId="032B9EC6"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1701" w:type="dxa"/>
            <w:tcBorders>
              <w:top w:val="single" w:sz="4" w:space="0" w:color="000000"/>
              <w:left w:val="single" w:sz="4" w:space="0" w:color="000000"/>
              <w:bottom w:val="nil"/>
              <w:right w:val="single" w:sz="4" w:space="0" w:color="000000"/>
            </w:tcBorders>
          </w:tcPr>
          <w:p w14:paraId="3B76CC99"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1985" w:type="dxa"/>
            <w:gridSpan w:val="2"/>
            <w:tcBorders>
              <w:top w:val="single" w:sz="4" w:space="0" w:color="000000"/>
              <w:left w:val="single" w:sz="4" w:space="0" w:color="000000"/>
              <w:bottom w:val="nil"/>
              <w:right w:val="single" w:sz="4" w:space="0" w:color="000000"/>
            </w:tcBorders>
          </w:tcPr>
          <w:p w14:paraId="5793EC0A"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0" w:type="auto"/>
            <w:vMerge/>
            <w:tcBorders>
              <w:top w:val="nil"/>
              <w:left w:val="single" w:sz="4" w:space="0" w:color="000000"/>
              <w:bottom w:val="nil"/>
              <w:right w:val="single" w:sz="4" w:space="0" w:color="000000"/>
            </w:tcBorders>
          </w:tcPr>
          <w:p w14:paraId="60D32009" w14:textId="77777777" w:rsidR="00AC34D5" w:rsidRPr="005A2EE1" w:rsidRDefault="00AC34D5" w:rsidP="009F2E1F">
            <w:pPr>
              <w:spacing w:line="480" w:lineRule="auto"/>
              <w:ind w:left="0" w:firstLine="0"/>
              <w:jc w:val="both"/>
              <w:rPr>
                <w:rFonts w:asciiTheme="majorBidi" w:hAnsiTheme="majorBidi" w:cstheme="majorBidi"/>
                <w:sz w:val="22"/>
                <w:szCs w:val="22"/>
              </w:rPr>
            </w:pPr>
          </w:p>
        </w:tc>
      </w:tr>
      <w:tr w:rsidR="00AC34D5" w:rsidRPr="005A2EE1" w14:paraId="002D46D8" w14:textId="77777777">
        <w:tblPrEx>
          <w:tblCellMar>
            <w:top w:w="0" w:type="dxa"/>
            <w:left w:w="49" w:type="dxa"/>
          </w:tblCellMar>
        </w:tblPrEx>
        <w:trPr>
          <w:gridAfter w:val="1"/>
          <w:wAfter w:w="85" w:type="dxa"/>
          <w:trHeight w:val="295"/>
        </w:trPr>
        <w:tc>
          <w:tcPr>
            <w:tcW w:w="4291" w:type="dxa"/>
            <w:gridSpan w:val="3"/>
            <w:tcBorders>
              <w:top w:val="nil"/>
              <w:left w:val="single" w:sz="4" w:space="0" w:color="000000"/>
              <w:bottom w:val="single" w:sz="4" w:space="0" w:color="000000"/>
              <w:right w:val="single" w:sz="4" w:space="0" w:color="000000"/>
            </w:tcBorders>
          </w:tcPr>
          <w:p w14:paraId="517A1076"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1701" w:type="dxa"/>
            <w:tcBorders>
              <w:top w:val="nil"/>
              <w:left w:val="single" w:sz="4" w:space="0" w:color="000000"/>
              <w:bottom w:val="single" w:sz="4" w:space="0" w:color="000000"/>
              <w:right w:val="single" w:sz="4" w:space="0" w:color="000000"/>
            </w:tcBorders>
          </w:tcPr>
          <w:p w14:paraId="52D65B8D"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 xml:space="preserve">Yes </w:t>
            </w:r>
            <w:r w:rsidRPr="005A2EE1">
              <w:rPr>
                <w:rFonts w:asciiTheme="majorBidi" w:hAnsiTheme="majorBidi" w:cstheme="majorBidi"/>
                <w:b/>
                <w:sz w:val="22"/>
                <w:szCs w:val="22"/>
              </w:rPr>
              <w:t>(n=38)</w:t>
            </w:r>
          </w:p>
        </w:tc>
        <w:tc>
          <w:tcPr>
            <w:tcW w:w="1985" w:type="dxa"/>
            <w:gridSpan w:val="2"/>
            <w:tcBorders>
              <w:top w:val="nil"/>
              <w:left w:val="single" w:sz="4" w:space="0" w:color="000000"/>
              <w:bottom w:val="single" w:sz="4" w:space="0" w:color="000000"/>
              <w:right w:val="single" w:sz="4" w:space="0" w:color="000000"/>
            </w:tcBorders>
          </w:tcPr>
          <w:p w14:paraId="04832484"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 xml:space="preserve">No </w:t>
            </w:r>
            <w:r w:rsidRPr="005A2EE1">
              <w:rPr>
                <w:rFonts w:asciiTheme="majorBidi" w:hAnsiTheme="majorBidi" w:cstheme="majorBidi"/>
                <w:b/>
                <w:sz w:val="22"/>
                <w:szCs w:val="22"/>
              </w:rPr>
              <w:t>(n=150)</w:t>
            </w:r>
          </w:p>
        </w:tc>
        <w:tc>
          <w:tcPr>
            <w:tcW w:w="1563" w:type="dxa"/>
            <w:tcBorders>
              <w:top w:val="nil"/>
              <w:left w:val="single" w:sz="4" w:space="0" w:color="000000"/>
              <w:bottom w:val="single" w:sz="4" w:space="0" w:color="000000"/>
              <w:right w:val="single" w:sz="4" w:space="0" w:color="000000"/>
            </w:tcBorders>
          </w:tcPr>
          <w:p w14:paraId="361C8BD5" w14:textId="77777777" w:rsidR="00AC34D5" w:rsidRPr="005A2EE1" w:rsidRDefault="00AC34D5" w:rsidP="009F2E1F">
            <w:pPr>
              <w:spacing w:line="480" w:lineRule="auto"/>
              <w:ind w:left="0" w:firstLine="0"/>
              <w:jc w:val="both"/>
              <w:rPr>
                <w:rFonts w:asciiTheme="majorBidi" w:hAnsiTheme="majorBidi" w:cstheme="majorBidi"/>
                <w:sz w:val="22"/>
                <w:szCs w:val="22"/>
              </w:rPr>
            </w:pPr>
          </w:p>
        </w:tc>
      </w:tr>
      <w:tr w:rsidR="00AC34D5" w:rsidRPr="005A2EE1" w14:paraId="763AAD73" w14:textId="77777777">
        <w:tblPrEx>
          <w:tblCellMar>
            <w:top w:w="0" w:type="dxa"/>
            <w:left w:w="49" w:type="dxa"/>
          </w:tblCellMar>
        </w:tblPrEx>
        <w:trPr>
          <w:gridAfter w:val="1"/>
          <w:wAfter w:w="85" w:type="dxa"/>
          <w:trHeight w:val="421"/>
        </w:trPr>
        <w:tc>
          <w:tcPr>
            <w:tcW w:w="4291" w:type="dxa"/>
            <w:gridSpan w:val="3"/>
            <w:tcBorders>
              <w:top w:val="single" w:sz="4" w:space="0" w:color="000000"/>
              <w:left w:val="single" w:sz="4" w:space="0" w:color="000000"/>
              <w:bottom w:val="single" w:sz="4" w:space="0" w:color="000000"/>
              <w:right w:val="single" w:sz="4" w:space="0" w:color="000000"/>
            </w:tcBorders>
          </w:tcPr>
          <w:p w14:paraId="6403857D"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 xml:space="preserve">Age in </w:t>
            </w:r>
            <w:r w:rsidRPr="005A2EE1">
              <w:rPr>
                <w:rFonts w:asciiTheme="majorBidi" w:hAnsiTheme="majorBidi" w:cstheme="majorBidi"/>
                <w:sz w:val="22"/>
                <w:szCs w:val="22"/>
              </w:rPr>
              <w:t>years</w:t>
            </w:r>
          </w:p>
        </w:tc>
        <w:tc>
          <w:tcPr>
            <w:tcW w:w="1701" w:type="dxa"/>
            <w:tcBorders>
              <w:top w:val="single" w:sz="4" w:space="0" w:color="000000"/>
              <w:left w:val="single" w:sz="4" w:space="0" w:color="000000"/>
              <w:bottom w:val="single" w:sz="4" w:space="0" w:color="000000"/>
              <w:right w:val="single" w:sz="4" w:space="0" w:color="000000"/>
            </w:tcBorders>
          </w:tcPr>
          <w:p w14:paraId="7624EF04"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29.43 ± 3.64</w:t>
            </w:r>
          </w:p>
        </w:tc>
        <w:tc>
          <w:tcPr>
            <w:tcW w:w="1985" w:type="dxa"/>
            <w:gridSpan w:val="2"/>
            <w:tcBorders>
              <w:top w:val="single" w:sz="4" w:space="0" w:color="000000"/>
              <w:left w:val="single" w:sz="4" w:space="0" w:color="000000"/>
              <w:bottom w:val="single" w:sz="4" w:space="0" w:color="000000"/>
              <w:right w:val="single" w:sz="4" w:space="0" w:color="000000"/>
            </w:tcBorders>
          </w:tcPr>
          <w:p w14:paraId="01F2562E"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28.79 ± 3.51</w:t>
            </w:r>
          </w:p>
        </w:tc>
        <w:tc>
          <w:tcPr>
            <w:tcW w:w="1563" w:type="dxa"/>
            <w:tcBorders>
              <w:top w:val="single" w:sz="4" w:space="0" w:color="000000"/>
              <w:left w:val="single" w:sz="4" w:space="0" w:color="000000"/>
              <w:bottom w:val="single" w:sz="4" w:space="0" w:color="000000"/>
              <w:right w:val="single" w:sz="4" w:space="0" w:color="000000"/>
            </w:tcBorders>
          </w:tcPr>
          <w:p w14:paraId="48E0E193"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0.325</w:t>
            </w:r>
          </w:p>
        </w:tc>
      </w:tr>
      <w:tr w:rsidR="00AC34D5" w:rsidRPr="005A2EE1" w14:paraId="05F350B2" w14:textId="77777777">
        <w:tblPrEx>
          <w:tblCellMar>
            <w:top w:w="0" w:type="dxa"/>
            <w:left w:w="49" w:type="dxa"/>
          </w:tblCellMar>
        </w:tblPrEx>
        <w:trPr>
          <w:gridAfter w:val="1"/>
          <w:wAfter w:w="85" w:type="dxa"/>
          <w:trHeight w:val="421"/>
        </w:trPr>
        <w:tc>
          <w:tcPr>
            <w:tcW w:w="4291" w:type="dxa"/>
            <w:gridSpan w:val="3"/>
            <w:tcBorders>
              <w:top w:val="single" w:sz="4" w:space="0" w:color="000000"/>
              <w:left w:val="single" w:sz="4" w:space="0" w:color="000000"/>
              <w:bottom w:val="single" w:sz="4" w:space="0" w:color="000000"/>
              <w:right w:val="single" w:sz="4" w:space="0" w:color="000000"/>
            </w:tcBorders>
          </w:tcPr>
          <w:p w14:paraId="441D1EF2"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Gestational Age in weeks</w:t>
            </w:r>
          </w:p>
        </w:tc>
        <w:tc>
          <w:tcPr>
            <w:tcW w:w="1701" w:type="dxa"/>
            <w:tcBorders>
              <w:top w:val="single" w:sz="4" w:space="0" w:color="000000"/>
              <w:left w:val="single" w:sz="4" w:space="0" w:color="000000"/>
              <w:bottom w:val="single" w:sz="4" w:space="0" w:color="000000"/>
              <w:right w:val="single" w:sz="4" w:space="0" w:color="000000"/>
            </w:tcBorders>
          </w:tcPr>
          <w:p w14:paraId="2C3901A8"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34.26 ± 1.47</w:t>
            </w:r>
          </w:p>
        </w:tc>
        <w:tc>
          <w:tcPr>
            <w:tcW w:w="1985" w:type="dxa"/>
            <w:gridSpan w:val="2"/>
            <w:tcBorders>
              <w:top w:val="single" w:sz="4" w:space="0" w:color="000000"/>
              <w:left w:val="single" w:sz="4" w:space="0" w:color="000000"/>
              <w:bottom w:val="single" w:sz="4" w:space="0" w:color="000000"/>
              <w:right w:val="single" w:sz="4" w:space="0" w:color="000000"/>
            </w:tcBorders>
          </w:tcPr>
          <w:p w14:paraId="22015869"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34.09 ± 1.90</w:t>
            </w:r>
          </w:p>
        </w:tc>
        <w:tc>
          <w:tcPr>
            <w:tcW w:w="1563" w:type="dxa"/>
            <w:tcBorders>
              <w:top w:val="single" w:sz="4" w:space="0" w:color="000000"/>
              <w:left w:val="single" w:sz="4" w:space="0" w:color="000000"/>
              <w:bottom w:val="single" w:sz="4" w:space="0" w:color="000000"/>
              <w:right w:val="single" w:sz="4" w:space="0" w:color="000000"/>
            </w:tcBorders>
          </w:tcPr>
          <w:p w14:paraId="28A96779"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0.601</w:t>
            </w:r>
          </w:p>
        </w:tc>
      </w:tr>
      <w:tr w:rsidR="00AC34D5" w:rsidRPr="005A2EE1" w14:paraId="5C00D676" w14:textId="77777777">
        <w:tblPrEx>
          <w:tblCellMar>
            <w:top w:w="0" w:type="dxa"/>
            <w:left w:w="49" w:type="dxa"/>
          </w:tblCellMar>
        </w:tblPrEx>
        <w:trPr>
          <w:gridAfter w:val="1"/>
          <w:wAfter w:w="85" w:type="dxa"/>
          <w:trHeight w:val="421"/>
        </w:trPr>
        <w:tc>
          <w:tcPr>
            <w:tcW w:w="4291" w:type="dxa"/>
            <w:gridSpan w:val="3"/>
            <w:tcBorders>
              <w:top w:val="single" w:sz="4" w:space="0" w:color="000000"/>
              <w:left w:val="single" w:sz="4" w:space="0" w:color="000000"/>
              <w:bottom w:val="single" w:sz="4" w:space="0" w:color="000000"/>
              <w:right w:val="single" w:sz="4" w:space="0" w:color="000000"/>
            </w:tcBorders>
          </w:tcPr>
          <w:p w14:paraId="626B77EE"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BMI in kg/m²</w:t>
            </w:r>
          </w:p>
        </w:tc>
        <w:tc>
          <w:tcPr>
            <w:tcW w:w="1701" w:type="dxa"/>
            <w:tcBorders>
              <w:top w:val="single" w:sz="4" w:space="0" w:color="000000"/>
              <w:left w:val="single" w:sz="4" w:space="0" w:color="000000"/>
              <w:bottom w:val="single" w:sz="4" w:space="0" w:color="000000"/>
              <w:right w:val="single" w:sz="4" w:space="0" w:color="000000"/>
            </w:tcBorders>
          </w:tcPr>
          <w:p w14:paraId="4FE4D94D"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31.26 ± 2.46</w:t>
            </w:r>
          </w:p>
        </w:tc>
        <w:tc>
          <w:tcPr>
            <w:tcW w:w="1985" w:type="dxa"/>
            <w:gridSpan w:val="2"/>
            <w:tcBorders>
              <w:top w:val="single" w:sz="4" w:space="0" w:color="000000"/>
              <w:left w:val="single" w:sz="4" w:space="0" w:color="000000"/>
              <w:bottom w:val="single" w:sz="4" w:space="0" w:color="000000"/>
              <w:right w:val="single" w:sz="4" w:space="0" w:color="000000"/>
            </w:tcBorders>
          </w:tcPr>
          <w:p w14:paraId="197131C5"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29.74 ± 3.20</w:t>
            </w:r>
          </w:p>
        </w:tc>
        <w:tc>
          <w:tcPr>
            <w:tcW w:w="1563" w:type="dxa"/>
            <w:tcBorders>
              <w:top w:val="single" w:sz="4" w:space="0" w:color="000000"/>
              <w:left w:val="single" w:sz="4" w:space="0" w:color="000000"/>
              <w:bottom w:val="single" w:sz="4" w:space="0" w:color="000000"/>
              <w:right w:val="single" w:sz="4" w:space="0" w:color="000000"/>
            </w:tcBorders>
          </w:tcPr>
          <w:p w14:paraId="268F2165"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0.007</w:t>
            </w:r>
          </w:p>
        </w:tc>
      </w:tr>
      <w:tr w:rsidR="00AC34D5" w:rsidRPr="005A2EE1" w14:paraId="74629E3D" w14:textId="77777777">
        <w:tblPrEx>
          <w:tblCellMar>
            <w:top w:w="0" w:type="dxa"/>
            <w:left w:w="49" w:type="dxa"/>
          </w:tblCellMar>
        </w:tblPrEx>
        <w:trPr>
          <w:gridAfter w:val="1"/>
          <w:wAfter w:w="85" w:type="dxa"/>
          <w:trHeight w:val="421"/>
        </w:trPr>
        <w:tc>
          <w:tcPr>
            <w:tcW w:w="2238" w:type="dxa"/>
            <w:tcBorders>
              <w:top w:val="single" w:sz="4" w:space="0" w:color="000000"/>
              <w:left w:val="single" w:sz="4" w:space="0" w:color="000000"/>
              <w:bottom w:val="single" w:sz="4" w:space="0" w:color="000000"/>
              <w:right w:val="single" w:sz="4" w:space="0" w:color="000000"/>
            </w:tcBorders>
          </w:tcPr>
          <w:p w14:paraId="2730649B"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Residential Status</w:t>
            </w:r>
          </w:p>
        </w:tc>
        <w:tc>
          <w:tcPr>
            <w:tcW w:w="2053" w:type="dxa"/>
            <w:gridSpan w:val="2"/>
            <w:tcBorders>
              <w:top w:val="single" w:sz="4" w:space="0" w:color="000000"/>
              <w:left w:val="single" w:sz="4" w:space="0" w:color="000000"/>
              <w:bottom w:val="single" w:sz="4" w:space="0" w:color="000000"/>
              <w:right w:val="single" w:sz="4" w:space="0" w:color="000000"/>
            </w:tcBorders>
          </w:tcPr>
          <w:p w14:paraId="06904BD4"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Urban</w:t>
            </w:r>
          </w:p>
        </w:tc>
        <w:tc>
          <w:tcPr>
            <w:tcW w:w="1701" w:type="dxa"/>
            <w:tcBorders>
              <w:top w:val="single" w:sz="4" w:space="0" w:color="000000"/>
              <w:left w:val="single" w:sz="4" w:space="0" w:color="000000"/>
              <w:bottom w:val="single" w:sz="4" w:space="0" w:color="000000"/>
              <w:right w:val="single" w:sz="4" w:space="0" w:color="000000"/>
            </w:tcBorders>
          </w:tcPr>
          <w:p w14:paraId="68B9BC5C"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29 (22.7)</w:t>
            </w:r>
          </w:p>
        </w:tc>
        <w:tc>
          <w:tcPr>
            <w:tcW w:w="1985" w:type="dxa"/>
            <w:gridSpan w:val="2"/>
            <w:tcBorders>
              <w:top w:val="single" w:sz="4" w:space="0" w:color="000000"/>
              <w:left w:val="single" w:sz="4" w:space="0" w:color="000000"/>
              <w:bottom w:val="single" w:sz="4" w:space="0" w:color="000000"/>
              <w:right w:val="single" w:sz="4" w:space="0" w:color="000000"/>
            </w:tcBorders>
          </w:tcPr>
          <w:p w14:paraId="387C060A"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99 (77.3)</w:t>
            </w:r>
          </w:p>
        </w:tc>
        <w:tc>
          <w:tcPr>
            <w:tcW w:w="1563" w:type="dxa"/>
            <w:vMerge w:val="restart"/>
            <w:tcBorders>
              <w:top w:val="single" w:sz="4" w:space="0" w:color="000000"/>
              <w:left w:val="single" w:sz="4" w:space="0" w:color="000000"/>
              <w:bottom w:val="nil"/>
              <w:right w:val="single" w:sz="4" w:space="0" w:color="000000"/>
            </w:tcBorders>
            <w:vAlign w:val="bottom"/>
          </w:tcPr>
          <w:p w14:paraId="090087B3"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0.223</w:t>
            </w:r>
          </w:p>
        </w:tc>
      </w:tr>
      <w:tr w:rsidR="00AC34D5" w:rsidRPr="005A2EE1" w14:paraId="3F78A81A" w14:textId="77777777">
        <w:tblPrEx>
          <w:tblCellMar>
            <w:top w:w="0" w:type="dxa"/>
            <w:left w:w="49" w:type="dxa"/>
          </w:tblCellMar>
        </w:tblPrEx>
        <w:trPr>
          <w:gridAfter w:val="1"/>
          <w:wAfter w:w="85" w:type="dxa"/>
          <w:trHeight w:val="126"/>
        </w:trPr>
        <w:tc>
          <w:tcPr>
            <w:tcW w:w="2238" w:type="dxa"/>
            <w:tcBorders>
              <w:top w:val="single" w:sz="4" w:space="0" w:color="000000"/>
              <w:left w:val="single" w:sz="4" w:space="0" w:color="000000"/>
              <w:bottom w:val="nil"/>
              <w:right w:val="single" w:sz="4" w:space="0" w:color="000000"/>
            </w:tcBorders>
          </w:tcPr>
          <w:p w14:paraId="065D7D8E"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053" w:type="dxa"/>
            <w:gridSpan w:val="2"/>
            <w:tcBorders>
              <w:top w:val="single" w:sz="4" w:space="0" w:color="000000"/>
              <w:left w:val="single" w:sz="4" w:space="0" w:color="000000"/>
              <w:bottom w:val="nil"/>
              <w:right w:val="single" w:sz="4" w:space="0" w:color="000000"/>
            </w:tcBorders>
          </w:tcPr>
          <w:p w14:paraId="4BA65992"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1701" w:type="dxa"/>
            <w:tcBorders>
              <w:top w:val="single" w:sz="4" w:space="0" w:color="000000"/>
              <w:left w:val="single" w:sz="4" w:space="0" w:color="000000"/>
              <w:bottom w:val="nil"/>
              <w:right w:val="single" w:sz="4" w:space="0" w:color="000000"/>
            </w:tcBorders>
          </w:tcPr>
          <w:p w14:paraId="47C71D97"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1985" w:type="dxa"/>
            <w:gridSpan w:val="2"/>
            <w:tcBorders>
              <w:top w:val="single" w:sz="4" w:space="0" w:color="000000"/>
              <w:left w:val="single" w:sz="4" w:space="0" w:color="000000"/>
              <w:bottom w:val="nil"/>
              <w:right w:val="single" w:sz="4" w:space="0" w:color="000000"/>
            </w:tcBorders>
          </w:tcPr>
          <w:p w14:paraId="3CC704BE"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0" w:type="auto"/>
            <w:vMerge/>
            <w:tcBorders>
              <w:top w:val="nil"/>
              <w:left w:val="single" w:sz="4" w:space="0" w:color="000000"/>
              <w:bottom w:val="nil"/>
              <w:right w:val="single" w:sz="4" w:space="0" w:color="000000"/>
            </w:tcBorders>
          </w:tcPr>
          <w:p w14:paraId="3A0DD387" w14:textId="77777777" w:rsidR="00AC34D5" w:rsidRPr="005A2EE1" w:rsidRDefault="00AC34D5" w:rsidP="009F2E1F">
            <w:pPr>
              <w:spacing w:line="480" w:lineRule="auto"/>
              <w:ind w:left="0" w:firstLine="0"/>
              <w:jc w:val="both"/>
              <w:rPr>
                <w:rFonts w:asciiTheme="majorBidi" w:hAnsiTheme="majorBidi" w:cstheme="majorBidi"/>
                <w:sz w:val="22"/>
                <w:szCs w:val="22"/>
              </w:rPr>
            </w:pPr>
          </w:p>
        </w:tc>
      </w:tr>
      <w:tr w:rsidR="00AC34D5" w:rsidRPr="005A2EE1" w14:paraId="3E4BB869" w14:textId="77777777">
        <w:tblPrEx>
          <w:tblCellMar>
            <w:top w:w="0" w:type="dxa"/>
            <w:left w:w="49" w:type="dxa"/>
          </w:tblCellMar>
        </w:tblPrEx>
        <w:trPr>
          <w:gridAfter w:val="1"/>
          <w:wAfter w:w="85" w:type="dxa"/>
          <w:trHeight w:val="295"/>
        </w:trPr>
        <w:tc>
          <w:tcPr>
            <w:tcW w:w="2238" w:type="dxa"/>
            <w:tcBorders>
              <w:top w:val="nil"/>
              <w:left w:val="single" w:sz="4" w:space="0" w:color="000000"/>
              <w:bottom w:val="single" w:sz="4" w:space="0" w:color="000000"/>
              <w:right w:val="single" w:sz="4" w:space="0" w:color="000000"/>
            </w:tcBorders>
          </w:tcPr>
          <w:p w14:paraId="12D5C0EB"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053" w:type="dxa"/>
            <w:gridSpan w:val="2"/>
            <w:tcBorders>
              <w:top w:val="nil"/>
              <w:left w:val="single" w:sz="4" w:space="0" w:color="000000"/>
              <w:bottom w:val="single" w:sz="4" w:space="0" w:color="000000"/>
              <w:right w:val="single" w:sz="4" w:space="0" w:color="000000"/>
            </w:tcBorders>
          </w:tcPr>
          <w:p w14:paraId="2D56B82F"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Rural</w:t>
            </w:r>
          </w:p>
        </w:tc>
        <w:tc>
          <w:tcPr>
            <w:tcW w:w="1701" w:type="dxa"/>
            <w:tcBorders>
              <w:top w:val="nil"/>
              <w:left w:val="single" w:sz="4" w:space="0" w:color="000000"/>
              <w:bottom w:val="single" w:sz="4" w:space="0" w:color="000000"/>
              <w:right w:val="single" w:sz="4" w:space="0" w:color="000000"/>
            </w:tcBorders>
          </w:tcPr>
          <w:p w14:paraId="72E4C17B"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9 (15.0)</w:t>
            </w:r>
          </w:p>
        </w:tc>
        <w:tc>
          <w:tcPr>
            <w:tcW w:w="1985" w:type="dxa"/>
            <w:gridSpan w:val="2"/>
            <w:tcBorders>
              <w:top w:val="nil"/>
              <w:left w:val="single" w:sz="4" w:space="0" w:color="000000"/>
              <w:bottom w:val="single" w:sz="4" w:space="0" w:color="000000"/>
              <w:right w:val="single" w:sz="4" w:space="0" w:color="000000"/>
            </w:tcBorders>
          </w:tcPr>
          <w:p w14:paraId="4CDF86CA"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51 (85.0)</w:t>
            </w:r>
          </w:p>
        </w:tc>
        <w:tc>
          <w:tcPr>
            <w:tcW w:w="1563" w:type="dxa"/>
            <w:tcBorders>
              <w:top w:val="nil"/>
              <w:left w:val="single" w:sz="4" w:space="0" w:color="000000"/>
              <w:bottom w:val="single" w:sz="4" w:space="0" w:color="000000"/>
              <w:right w:val="single" w:sz="4" w:space="0" w:color="000000"/>
            </w:tcBorders>
          </w:tcPr>
          <w:p w14:paraId="3642DE02" w14:textId="77777777" w:rsidR="00AC34D5" w:rsidRPr="005A2EE1" w:rsidRDefault="00AC34D5" w:rsidP="009F2E1F">
            <w:pPr>
              <w:spacing w:line="480" w:lineRule="auto"/>
              <w:ind w:left="0" w:firstLine="0"/>
              <w:jc w:val="both"/>
              <w:rPr>
                <w:rFonts w:asciiTheme="majorBidi" w:hAnsiTheme="majorBidi" w:cstheme="majorBidi"/>
                <w:sz w:val="22"/>
                <w:szCs w:val="22"/>
              </w:rPr>
            </w:pPr>
          </w:p>
        </w:tc>
      </w:tr>
      <w:tr w:rsidR="00AC34D5" w:rsidRPr="005A2EE1" w14:paraId="55F6E8EE" w14:textId="77777777">
        <w:tblPrEx>
          <w:tblCellMar>
            <w:top w:w="0" w:type="dxa"/>
            <w:left w:w="49" w:type="dxa"/>
          </w:tblCellMar>
        </w:tblPrEx>
        <w:trPr>
          <w:gridAfter w:val="1"/>
          <w:wAfter w:w="85" w:type="dxa"/>
          <w:trHeight w:val="421"/>
        </w:trPr>
        <w:tc>
          <w:tcPr>
            <w:tcW w:w="2238" w:type="dxa"/>
            <w:vMerge w:val="restart"/>
            <w:tcBorders>
              <w:top w:val="single" w:sz="4" w:space="0" w:color="000000"/>
              <w:left w:val="single" w:sz="4" w:space="0" w:color="000000"/>
              <w:bottom w:val="single" w:sz="4" w:space="0" w:color="000000"/>
              <w:right w:val="single" w:sz="4" w:space="0" w:color="000000"/>
            </w:tcBorders>
            <w:vAlign w:val="center"/>
          </w:tcPr>
          <w:p w14:paraId="79EE6B22"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Occupational Status</w:t>
            </w:r>
          </w:p>
        </w:tc>
        <w:tc>
          <w:tcPr>
            <w:tcW w:w="2053" w:type="dxa"/>
            <w:gridSpan w:val="2"/>
            <w:tcBorders>
              <w:top w:val="single" w:sz="4" w:space="0" w:color="000000"/>
              <w:left w:val="single" w:sz="4" w:space="0" w:color="000000"/>
              <w:bottom w:val="single" w:sz="4" w:space="0" w:color="000000"/>
              <w:right w:val="single" w:sz="4" w:space="0" w:color="000000"/>
            </w:tcBorders>
          </w:tcPr>
          <w:p w14:paraId="4A90F322"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Employed</w:t>
            </w:r>
          </w:p>
        </w:tc>
        <w:tc>
          <w:tcPr>
            <w:tcW w:w="1701" w:type="dxa"/>
            <w:tcBorders>
              <w:top w:val="single" w:sz="4" w:space="0" w:color="000000"/>
              <w:left w:val="single" w:sz="4" w:space="0" w:color="000000"/>
              <w:bottom w:val="single" w:sz="4" w:space="0" w:color="000000"/>
              <w:right w:val="single" w:sz="4" w:space="0" w:color="000000"/>
            </w:tcBorders>
          </w:tcPr>
          <w:p w14:paraId="35CC3BE4"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18 (25.0)</w:t>
            </w:r>
          </w:p>
        </w:tc>
        <w:tc>
          <w:tcPr>
            <w:tcW w:w="1985" w:type="dxa"/>
            <w:gridSpan w:val="2"/>
            <w:tcBorders>
              <w:top w:val="single" w:sz="4" w:space="0" w:color="000000"/>
              <w:left w:val="single" w:sz="4" w:space="0" w:color="000000"/>
              <w:bottom w:val="single" w:sz="4" w:space="0" w:color="000000"/>
              <w:right w:val="single" w:sz="4" w:space="0" w:color="000000"/>
            </w:tcBorders>
          </w:tcPr>
          <w:p w14:paraId="772259D0"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54 (75.0)</w:t>
            </w:r>
          </w:p>
        </w:tc>
        <w:tc>
          <w:tcPr>
            <w:tcW w:w="1563" w:type="dxa"/>
            <w:vMerge w:val="restart"/>
            <w:tcBorders>
              <w:top w:val="single" w:sz="4" w:space="0" w:color="000000"/>
              <w:left w:val="single" w:sz="4" w:space="0" w:color="000000"/>
              <w:bottom w:val="single" w:sz="4" w:space="0" w:color="000000"/>
              <w:right w:val="single" w:sz="4" w:space="0" w:color="000000"/>
            </w:tcBorders>
            <w:vAlign w:val="center"/>
          </w:tcPr>
          <w:p w14:paraId="7BDC8568"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0.198</w:t>
            </w:r>
          </w:p>
        </w:tc>
      </w:tr>
      <w:tr w:rsidR="00AC34D5" w:rsidRPr="005A2EE1" w14:paraId="460A1DC7" w14:textId="77777777">
        <w:tblPrEx>
          <w:tblCellMar>
            <w:top w:w="0" w:type="dxa"/>
            <w:left w:w="49" w:type="dxa"/>
          </w:tblCellMar>
        </w:tblPrEx>
        <w:trPr>
          <w:gridAfter w:val="1"/>
          <w:wAfter w:w="85" w:type="dxa"/>
          <w:trHeight w:val="421"/>
        </w:trPr>
        <w:tc>
          <w:tcPr>
            <w:tcW w:w="0" w:type="auto"/>
            <w:vMerge/>
            <w:tcBorders>
              <w:top w:val="nil"/>
              <w:left w:val="single" w:sz="4" w:space="0" w:color="000000"/>
              <w:bottom w:val="single" w:sz="4" w:space="0" w:color="000000"/>
              <w:right w:val="single" w:sz="4" w:space="0" w:color="000000"/>
            </w:tcBorders>
          </w:tcPr>
          <w:p w14:paraId="7C52DFEE"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053" w:type="dxa"/>
            <w:gridSpan w:val="2"/>
            <w:tcBorders>
              <w:top w:val="single" w:sz="4" w:space="0" w:color="000000"/>
              <w:left w:val="single" w:sz="4" w:space="0" w:color="000000"/>
              <w:bottom w:val="single" w:sz="4" w:space="0" w:color="000000"/>
              <w:right w:val="single" w:sz="4" w:space="0" w:color="000000"/>
            </w:tcBorders>
          </w:tcPr>
          <w:p w14:paraId="126595C4"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Unemployed</w:t>
            </w:r>
          </w:p>
        </w:tc>
        <w:tc>
          <w:tcPr>
            <w:tcW w:w="1701" w:type="dxa"/>
            <w:tcBorders>
              <w:top w:val="single" w:sz="4" w:space="0" w:color="000000"/>
              <w:left w:val="single" w:sz="4" w:space="0" w:color="000000"/>
              <w:bottom w:val="single" w:sz="4" w:space="0" w:color="000000"/>
              <w:right w:val="single" w:sz="4" w:space="0" w:color="000000"/>
            </w:tcBorders>
          </w:tcPr>
          <w:p w14:paraId="5E2F2DAF"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20 (17.2)</w:t>
            </w:r>
          </w:p>
        </w:tc>
        <w:tc>
          <w:tcPr>
            <w:tcW w:w="1985" w:type="dxa"/>
            <w:gridSpan w:val="2"/>
            <w:tcBorders>
              <w:top w:val="single" w:sz="4" w:space="0" w:color="000000"/>
              <w:left w:val="single" w:sz="4" w:space="0" w:color="000000"/>
              <w:bottom w:val="single" w:sz="4" w:space="0" w:color="000000"/>
              <w:right w:val="single" w:sz="4" w:space="0" w:color="000000"/>
            </w:tcBorders>
          </w:tcPr>
          <w:p w14:paraId="52F8763A"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96 (82.8)</w:t>
            </w:r>
          </w:p>
        </w:tc>
        <w:tc>
          <w:tcPr>
            <w:tcW w:w="0" w:type="auto"/>
            <w:vMerge/>
            <w:tcBorders>
              <w:top w:val="nil"/>
              <w:left w:val="single" w:sz="4" w:space="0" w:color="000000"/>
              <w:bottom w:val="single" w:sz="4" w:space="0" w:color="000000"/>
              <w:right w:val="single" w:sz="4" w:space="0" w:color="000000"/>
            </w:tcBorders>
          </w:tcPr>
          <w:p w14:paraId="20DC7F3D" w14:textId="77777777" w:rsidR="00AC34D5" w:rsidRPr="005A2EE1" w:rsidRDefault="00AC34D5" w:rsidP="009F2E1F">
            <w:pPr>
              <w:spacing w:line="480" w:lineRule="auto"/>
              <w:ind w:left="0" w:firstLine="0"/>
              <w:jc w:val="both"/>
              <w:rPr>
                <w:rFonts w:asciiTheme="majorBidi" w:hAnsiTheme="majorBidi" w:cstheme="majorBidi"/>
                <w:sz w:val="22"/>
                <w:szCs w:val="22"/>
              </w:rPr>
            </w:pPr>
          </w:p>
        </w:tc>
      </w:tr>
      <w:tr w:rsidR="00AC34D5" w:rsidRPr="005A2EE1" w14:paraId="3623FA9B" w14:textId="77777777">
        <w:tblPrEx>
          <w:tblCellMar>
            <w:top w:w="0" w:type="dxa"/>
            <w:left w:w="49" w:type="dxa"/>
          </w:tblCellMar>
        </w:tblPrEx>
        <w:trPr>
          <w:gridAfter w:val="1"/>
          <w:wAfter w:w="85" w:type="dxa"/>
          <w:trHeight w:val="421"/>
        </w:trPr>
        <w:tc>
          <w:tcPr>
            <w:tcW w:w="2238" w:type="dxa"/>
            <w:vMerge w:val="restart"/>
            <w:tcBorders>
              <w:top w:val="single" w:sz="4" w:space="0" w:color="000000"/>
              <w:left w:val="single" w:sz="4" w:space="0" w:color="000000"/>
              <w:bottom w:val="nil"/>
              <w:right w:val="single" w:sz="4" w:space="0" w:color="000000"/>
            </w:tcBorders>
            <w:vAlign w:val="bottom"/>
          </w:tcPr>
          <w:p w14:paraId="0D25343C"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BMI Status</w:t>
            </w:r>
          </w:p>
        </w:tc>
        <w:tc>
          <w:tcPr>
            <w:tcW w:w="2053" w:type="dxa"/>
            <w:gridSpan w:val="2"/>
            <w:tcBorders>
              <w:top w:val="single" w:sz="4" w:space="0" w:color="000000"/>
              <w:left w:val="single" w:sz="4" w:space="0" w:color="000000"/>
              <w:bottom w:val="single" w:sz="4" w:space="0" w:color="000000"/>
              <w:right w:val="single" w:sz="4" w:space="0" w:color="000000"/>
            </w:tcBorders>
          </w:tcPr>
          <w:p w14:paraId="6751AC93"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Obese</w:t>
            </w:r>
          </w:p>
        </w:tc>
        <w:tc>
          <w:tcPr>
            <w:tcW w:w="1701" w:type="dxa"/>
            <w:tcBorders>
              <w:top w:val="single" w:sz="4" w:space="0" w:color="000000"/>
              <w:left w:val="single" w:sz="4" w:space="0" w:color="000000"/>
              <w:bottom w:val="single" w:sz="4" w:space="0" w:color="000000"/>
              <w:right w:val="single" w:sz="4" w:space="0" w:color="000000"/>
            </w:tcBorders>
          </w:tcPr>
          <w:p w14:paraId="435667E2"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36 (20.9)</w:t>
            </w:r>
          </w:p>
        </w:tc>
        <w:tc>
          <w:tcPr>
            <w:tcW w:w="1985" w:type="dxa"/>
            <w:gridSpan w:val="2"/>
            <w:tcBorders>
              <w:top w:val="single" w:sz="4" w:space="0" w:color="000000"/>
              <w:left w:val="single" w:sz="4" w:space="0" w:color="000000"/>
              <w:bottom w:val="single" w:sz="4" w:space="0" w:color="000000"/>
              <w:right w:val="single" w:sz="4" w:space="0" w:color="000000"/>
            </w:tcBorders>
          </w:tcPr>
          <w:p w14:paraId="64DC12D4"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136 (79.1)</w:t>
            </w:r>
          </w:p>
        </w:tc>
        <w:tc>
          <w:tcPr>
            <w:tcW w:w="1563" w:type="dxa"/>
            <w:vMerge w:val="restart"/>
            <w:tcBorders>
              <w:top w:val="single" w:sz="4" w:space="0" w:color="000000"/>
              <w:left w:val="single" w:sz="4" w:space="0" w:color="000000"/>
              <w:bottom w:val="nil"/>
              <w:right w:val="single" w:sz="4" w:space="0" w:color="000000"/>
            </w:tcBorders>
            <w:vAlign w:val="bottom"/>
          </w:tcPr>
          <w:p w14:paraId="69CB4507"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0.334</w:t>
            </w:r>
          </w:p>
        </w:tc>
      </w:tr>
      <w:tr w:rsidR="00AC34D5" w:rsidRPr="005A2EE1" w14:paraId="78BC1774" w14:textId="77777777">
        <w:tblPrEx>
          <w:tblCellMar>
            <w:top w:w="0" w:type="dxa"/>
            <w:left w:w="49" w:type="dxa"/>
          </w:tblCellMar>
        </w:tblPrEx>
        <w:trPr>
          <w:gridAfter w:val="1"/>
          <w:wAfter w:w="85" w:type="dxa"/>
          <w:trHeight w:val="127"/>
        </w:trPr>
        <w:tc>
          <w:tcPr>
            <w:tcW w:w="0" w:type="auto"/>
            <w:vMerge/>
            <w:tcBorders>
              <w:top w:val="nil"/>
              <w:left w:val="single" w:sz="4" w:space="0" w:color="000000"/>
              <w:bottom w:val="nil"/>
              <w:right w:val="single" w:sz="4" w:space="0" w:color="000000"/>
            </w:tcBorders>
          </w:tcPr>
          <w:p w14:paraId="1D51D6B7"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053" w:type="dxa"/>
            <w:gridSpan w:val="2"/>
            <w:tcBorders>
              <w:top w:val="single" w:sz="4" w:space="0" w:color="000000"/>
              <w:left w:val="single" w:sz="4" w:space="0" w:color="000000"/>
              <w:bottom w:val="nil"/>
              <w:right w:val="single" w:sz="4" w:space="0" w:color="000000"/>
            </w:tcBorders>
          </w:tcPr>
          <w:p w14:paraId="67A6EC1E"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1701" w:type="dxa"/>
            <w:tcBorders>
              <w:top w:val="single" w:sz="4" w:space="0" w:color="000000"/>
              <w:left w:val="single" w:sz="4" w:space="0" w:color="000000"/>
              <w:bottom w:val="nil"/>
              <w:right w:val="single" w:sz="4" w:space="0" w:color="000000"/>
            </w:tcBorders>
          </w:tcPr>
          <w:p w14:paraId="09BD193D"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1985" w:type="dxa"/>
            <w:gridSpan w:val="2"/>
            <w:tcBorders>
              <w:top w:val="single" w:sz="4" w:space="0" w:color="000000"/>
              <w:left w:val="single" w:sz="4" w:space="0" w:color="000000"/>
              <w:bottom w:val="nil"/>
              <w:right w:val="single" w:sz="4" w:space="0" w:color="000000"/>
            </w:tcBorders>
          </w:tcPr>
          <w:p w14:paraId="367DE093"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0" w:type="auto"/>
            <w:vMerge/>
            <w:tcBorders>
              <w:top w:val="nil"/>
              <w:left w:val="single" w:sz="4" w:space="0" w:color="000000"/>
              <w:bottom w:val="nil"/>
              <w:right w:val="single" w:sz="4" w:space="0" w:color="000000"/>
            </w:tcBorders>
          </w:tcPr>
          <w:p w14:paraId="161D2FB6" w14:textId="77777777" w:rsidR="00AC34D5" w:rsidRPr="005A2EE1" w:rsidRDefault="00AC34D5" w:rsidP="009F2E1F">
            <w:pPr>
              <w:spacing w:line="480" w:lineRule="auto"/>
              <w:ind w:left="0" w:firstLine="0"/>
              <w:jc w:val="both"/>
              <w:rPr>
                <w:rFonts w:asciiTheme="majorBidi" w:hAnsiTheme="majorBidi" w:cstheme="majorBidi"/>
                <w:sz w:val="22"/>
                <w:szCs w:val="22"/>
              </w:rPr>
            </w:pPr>
          </w:p>
        </w:tc>
      </w:tr>
      <w:tr w:rsidR="00AC34D5" w:rsidRPr="005A2EE1" w14:paraId="28C850BA" w14:textId="77777777">
        <w:tblPrEx>
          <w:tblCellMar>
            <w:top w:w="0" w:type="dxa"/>
            <w:left w:w="49" w:type="dxa"/>
          </w:tblCellMar>
        </w:tblPrEx>
        <w:trPr>
          <w:gridAfter w:val="1"/>
          <w:wAfter w:w="85" w:type="dxa"/>
          <w:trHeight w:val="294"/>
        </w:trPr>
        <w:tc>
          <w:tcPr>
            <w:tcW w:w="2238" w:type="dxa"/>
            <w:tcBorders>
              <w:top w:val="nil"/>
              <w:left w:val="single" w:sz="4" w:space="0" w:color="000000"/>
              <w:bottom w:val="single" w:sz="4" w:space="0" w:color="000000"/>
              <w:right w:val="single" w:sz="4" w:space="0" w:color="000000"/>
            </w:tcBorders>
          </w:tcPr>
          <w:p w14:paraId="62DCC223" w14:textId="77777777" w:rsidR="00AC34D5" w:rsidRPr="005A2EE1" w:rsidRDefault="00AC34D5" w:rsidP="009F2E1F">
            <w:pPr>
              <w:spacing w:line="480" w:lineRule="auto"/>
              <w:ind w:left="0" w:firstLine="0"/>
              <w:jc w:val="both"/>
              <w:rPr>
                <w:rFonts w:asciiTheme="majorBidi" w:hAnsiTheme="majorBidi" w:cstheme="majorBidi"/>
                <w:sz w:val="22"/>
                <w:szCs w:val="22"/>
              </w:rPr>
            </w:pPr>
          </w:p>
        </w:tc>
        <w:tc>
          <w:tcPr>
            <w:tcW w:w="2053" w:type="dxa"/>
            <w:gridSpan w:val="2"/>
            <w:tcBorders>
              <w:top w:val="nil"/>
              <w:left w:val="single" w:sz="4" w:space="0" w:color="000000"/>
              <w:bottom w:val="single" w:sz="4" w:space="0" w:color="000000"/>
              <w:right w:val="single" w:sz="4" w:space="0" w:color="000000"/>
            </w:tcBorders>
          </w:tcPr>
          <w:p w14:paraId="4A10A270"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Overweight</w:t>
            </w:r>
          </w:p>
        </w:tc>
        <w:tc>
          <w:tcPr>
            <w:tcW w:w="1701" w:type="dxa"/>
            <w:tcBorders>
              <w:top w:val="nil"/>
              <w:left w:val="single" w:sz="4" w:space="0" w:color="000000"/>
              <w:bottom w:val="single" w:sz="4" w:space="0" w:color="000000"/>
              <w:right w:val="single" w:sz="4" w:space="0" w:color="000000"/>
            </w:tcBorders>
          </w:tcPr>
          <w:p w14:paraId="7B3487D6" w14:textId="77777777" w:rsidR="00AC34D5" w:rsidRPr="005A2EE1" w:rsidRDefault="00470BE4" w:rsidP="009F2E1F">
            <w:pPr>
              <w:spacing w:line="480" w:lineRule="auto"/>
              <w:ind w:left="0" w:firstLine="0"/>
              <w:jc w:val="both"/>
              <w:rPr>
                <w:rFonts w:asciiTheme="majorBidi" w:hAnsiTheme="majorBidi" w:cstheme="majorBidi"/>
                <w:sz w:val="22"/>
                <w:szCs w:val="22"/>
              </w:rPr>
            </w:pPr>
            <w:r w:rsidRPr="005A2EE1">
              <w:rPr>
                <w:rFonts w:asciiTheme="majorBidi" w:hAnsiTheme="majorBidi" w:cstheme="majorBidi"/>
                <w:sz w:val="22"/>
                <w:szCs w:val="22"/>
              </w:rPr>
              <w:t>2 (12.5)</w:t>
            </w:r>
          </w:p>
        </w:tc>
        <w:tc>
          <w:tcPr>
            <w:tcW w:w="1985" w:type="dxa"/>
            <w:gridSpan w:val="2"/>
            <w:tcBorders>
              <w:top w:val="nil"/>
              <w:left w:val="single" w:sz="4" w:space="0" w:color="000000"/>
              <w:bottom w:val="single" w:sz="4" w:space="0" w:color="000000"/>
              <w:right w:val="single" w:sz="4" w:space="0" w:color="000000"/>
            </w:tcBorders>
          </w:tcPr>
          <w:p w14:paraId="294C2530" w14:textId="77777777" w:rsidR="00AC34D5" w:rsidRPr="005A2EE1" w:rsidRDefault="00470BE4" w:rsidP="009F2E1F">
            <w:pPr>
              <w:spacing w:line="480" w:lineRule="auto"/>
              <w:ind w:left="68" w:firstLine="0"/>
              <w:jc w:val="both"/>
              <w:rPr>
                <w:rFonts w:asciiTheme="majorBidi" w:hAnsiTheme="majorBidi" w:cstheme="majorBidi"/>
                <w:sz w:val="22"/>
                <w:szCs w:val="22"/>
              </w:rPr>
            </w:pPr>
            <w:r w:rsidRPr="005A2EE1">
              <w:rPr>
                <w:rFonts w:asciiTheme="majorBidi" w:hAnsiTheme="majorBidi" w:cstheme="majorBidi"/>
                <w:sz w:val="22"/>
                <w:szCs w:val="22"/>
              </w:rPr>
              <w:t>14 (87.5)</w:t>
            </w:r>
          </w:p>
        </w:tc>
        <w:tc>
          <w:tcPr>
            <w:tcW w:w="1563" w:type="dxa"/>
            <w:tcBorders>
              <w:top w:val="nil"/>
              <w:left w:val="single" w:sz="4" w:space="0" w:color="000000"/>
              <w:bottom w:val="single" w:sz="4" w:space="0" w:color="000000"/>
              <w:right w:val="single" w:sz="4" w:space="0" w:color="000000"/>
            </w:tcBorders>
          </w:tcPr>
          <w:p w14:paraId="693B736F" w14:textId="77777777" w:rsidR="00AC34D5" w:rsidRPr="005A2EE1" w:rsidRDefault="00AC34D5" w:rsidP="009F2E1F">
            <w:pPr>
              <w:spacing w:line="480" w:lineRule="auto"/>
              <w:ind w:left="0" w:firstLine="0"/>
              <w:jc w:val="both"/>
              <w:rPr>
                <w:rFonts w:asciiTheme="majorBidi" w:hAnsiTheme="majorBidi" w:cstheme="majorBidi"/>
                <w:sz w:val="22"/>
                <w:szCs w:val="22"/>
              </w:rPr>
            </w:pPr>
          </w:p>
        </w:tc>
      </w:tr>
    </w:tbl>
    <w:p w14:paraId="27CDBC86" w14:textId="77777777" w:rsidR="00AC34D5" w:rsidRPr="005A2EE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rPr>
        <w:t>DISCUSSION</w:t>
      </w:r>
    </w:p>
    <w:p w14:paraId="1AC62910"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The present study evaluated the frequency of preterm birth among overweight and obese pregnant women and found an overall rate of 20.2%. Women categorized as overweight (BMI 23.0–24.9 kg/m²) had a preterm birth rate of 12.3%, while those classified as obes</w:t>
      </w:r>
      <w:r w:rsidRPr="005A2EE1">
        <w:rPr>
          <w:rFonts w:asciiTheme="majorBidi" w:hAnsiTheme="majorBidi" w:cstheme="majorBidi"/>
          <w:sz w:val="22"/>
          <w:szCs w:val="22"/>
        </w:rPr>
        <w:t xml:space="preserve">e (BMI ≥ 25.0 kg/m²) demonstrated a higher rate of 25.0%. This trend suggests that excessive maternal body weight may increase the likelihood of preterm </w:t>
      </w:r>
      <w:r w:rsidRPr="005A2EE1">
        <w:rPr>
          <w:rFonts w:asciiTheme="majorBidi" w:hAnsiTheme="majorBidi" w:cstheme="majorBidi"/>
          <w:sz w:val="22"/>
          <w:szCs w:val="22"/>
        </w:rPr>
        <w:lastRenderedPageBreak/>
        <w:t xml:space="preserve">delivery, a finding consistent with global evidence linking obesity to </w:t>
      </w:r>
      <w:proofErr w:type="spellStart"/>
      <w:r w:rsidRPr="005A2EE1">
        <w:rPr>
          <w:rFonts w:asciiTheme="majorBidi" w:hAnsiTheme="majorBidi" w:cstheme="majorBidi"/>
          <w:sz w:val="22"/>
          <w:szCs w:val="22"/>
        </w:rPr>
        <w:t>unfavourable</w:t>
      </w:r>
      <w:proofErr w:type="spellEnd"/>
      <w:r w:rsidRPr="005A2EE1">
        <w:rPr>
          <w:rFonts w:asciiTheme="majorBidi" w:hAnsiTheme="majorBidi" w:cstheme="majorBidi"/>
          <w:sz w:val="22"/>
          <w:szCs w:val="22"/>
        </w:rPr>
        <w:t xml:space="preserve"> pregnancy outcomes.</w:t>
      </w:r>
      <w:r w:rsidRPr="005A2EE1">
        <w:rPr>
          <w:rFonts w:asciiTheme="majorBidi" w:hAnsiTheme="majorBidi" w:cstheme="majorBidi"/>
          <w:sz w:val="22"/>
          <w:szCs w:val="22"/>
        </w:rPr>
        <w:t xml:space="preserve"> The average gestational age at birth of the study sample was 34.15 with a standard deviation of 2.03 weeks, which indicates that women with high BMI have the potential of </w:t>
      </w:r>
      <w:proofErr w:type="spellStart"/>
      <w:r w:rsidRPr="005A2EE1">
        <w:rPr>
          <w:rFonts w:asciiTheme="majorBidi" w:hAnsiTheme="majorBidi" w:cstheme="majorBidi"/>
          <w:sz w:val="22"/>
          <w:szCs w:val="22"/>
        </w:rPr>
        <w:t>labouring</w:t>
      </w:r>
      <w:proofErr w:type="spellEnd"/>
      <w:r w:rsidRPr="005A2EE1">
        <w:rPr>
          <w:rFonts w:asciiTheme="majorBidi" w:hAnsiTheme="majorBidi" w:cstheme="majorBidi"/>
          <w:sz w:val="22"/>
          <w:szCs w:val="22"/>
        </w:rPr>
        <w:t xml:space="preserve"> prematurely. All these findings together support the literature that confi</w:t>
      </w:r>
      <w:r w:rsidRPr="005A2EE1">
        <w:rPr>
          <w:rFonts w:asciiTheme="majorBidi" w:hAnsiTheme="majorBidi" w:cstheme="majorBidi"/>
          <w:sz w:val="22"/>
          <w:szCs w:val="22"/>
        </w:rPr>
        <w:t>rms high maternal BMI as a significant risk factor in preterm birth. This highlights the need to diagnose women with increased body weight in the earlier stages of pregnancy and to offer specific monitoring and preventive interventions throughout ante-nata</w:t>
      </w:r>
      <w:r w:rsidRPr="005A2EE1">
        <w:rPr>
          <w:rFonts w:asciiTheme="majorBidi" w:hAnsiTheme="majorBidi" w:cstheme="majorBidi"/>
          <w:sz w:val="22"/>
          <w:szCs w:val="22"/>
        </w:rPr>
        <w:t>l care.</w:t>
      </w:r>
    </w:p>
    <w:p w14:paraId="3F22101F"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 xml:space="preserve">The findings of this research are consistent with the findings of international studies investigating the same association. In a Cohort study conducted in China, overweight and obese women were found to be at increased risk of pre-term delivery by </w:t>
      </w:r>
      <w:r w:rsidRPr="005A2EE1">
        <w:rPr>
          <w:rFonts w:asciiTheme="majorBidi" w:hAnsiTheme="majorBidi" w:cstheme="majorBidi"/>
          <w:sz w:val="22"/>
          <w:szCs w:val="22"/>
        </w:rPr>
        <w:t>1.22 and 1.30-fold respectively as compared to normal weight women [15]. Likewise, a study involving Polish women showed that women with larger BMI scores had greater percentage of preterm birth (10.3%) compared to those of normal weight (8.0%) with bigges</w:t>
      </w:r>
      <w:r w:rsidRPr="005A2EE1">
        <w:rPr>
          <w:rFonts w:asciiTheme="majorBidi" w:hAnsiTheme="majorBidi" w:cstheme="majorBidi"/>
          <w:sz w:val="22"/>
          <w:szCs w:val="22"/>
        </w:rPr>
        <w:t>t risk being among extremely preterm births (16). Furthermore, an extensive survey of about 480,000 births in England showed that the relationship between maternal BMI and gestational age was J-shaped with the highest probability of early birth among the w</w:t>
      </w:r>
      <w:r w:rsidRPr="005A2EE1">
        <w:rPr>
          <w:rFonts w:asciiTheme="majorBidi" w:hAnsiTheme="majorBidi" w:cstheme="majorBidi"/>
          <w:sz w:val="22"/>
          <w:szCs w:val="22"/>
        </w:rPr>
        <w:t>omen with the highest level of obesity (class III) (OR 2.80) [9]. The agreement of these results with the current study indicates that the risk of preterm birth is gradually increasing with higher BMI. By employing region-specific BMI thresholds, the study</w:t>
      </w:r>
      <w:r w:rsidRPr="005A2EE1">
        <w:rPr>
          <w:rFonts w:asciiTheme="majorBidi" w:hAnsiTheme="majorBidi" w:cstheme="majorBidi"/>
          <w:sz w:val="22"/>
          <w:szCs w:val="22"/>
        </w:rPr>
        <w:t xml:space="preserve"> provides a more culturally and biologically relevant perspective on the influence of maternal weight on pregnancy outcomes. Moreover, the exclusion of medically indicated preterm deliveries allowed for a clearer understanding of spontaneous preterm births</w:t>
      </w:r>
      <w:r w:rsidRPr="005A2EE1">
        <w:rPr>
          <w:rFonts w:asciiTheme="majorBidi" w:hAnsiTheme="majorBidi" w:cstheme="majorBidi"/>
          <w:sz w:val="22"/>
          <w:szCs w:val="22"/>
        </w:rPr>
        <w:t xml:space="preserve">, thereby minimizing confounding from maternal comorbidities. Nonetheless, several limitations must be acknowledged. The cross-sectional design restricts </w:t>
      </w:r>
      <w:r w:rsidRPr="005A2EE1">
        <w:rPr>
          <w:rFonts w:asciiTheme="majorBidi" w:hAnsiTheme="majorBidi" w:cstheme="majorBidi"/>
          <w:sz w:val="22"/>
          <w:szCs w:val="22"/>
        </w:rPr>
        <w:lastRenderedPageBreak/>
        <w:t>causal interpretation, and the lack of data on gestational weight gain may have obscured a potentially</w:t>
      </w:r>
      <w:r w:rsidRPr="005A2EE1">
        <w:rPr>
          <w:rFonts w:asciiTheme="majorBidi" w:hAnsiTheme="majorBidi" w:cstheme="majorBidi"/>
          <w:sz w:val="22"/>
          <w:szCs w:val="22"/>
        </w:rPr>
        <w:t xml:space="preserve"> independent effect of this variable on preterm birth. Although stratification was applied to control for age, parity, educational level, and prior preterm delivery, residual confounding cannot be completely excluded.</w:t>
      </w:r>
    </w:p>
    <w:p w14:paraId="18D14FC7"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Comparison with large-scale studies fr</w:t>
      </w:r>
      <w:r w:rsidRPr="005A2EE1">
        <w:rPr>
          <w:rFonts w:asciiTheme="majorBidi" w:hAnsiTheme="majorBidi" w:cstheme="majorBidi"/>
          <w:sz w:val="22"/>
          <w:szCs w:val="22"/>
        </w:rPr>
        <w:t xml:space="preserve">om the United States, which have reported stronger associations between maternal obesity and preterm birth in older pregnant women [10], indicates that these patterns may vary across populations with different age distributions and metabolic risks. In the </w:t>
      </w:r>
      <w:r w:rsidRPr="005A2EE1">
        <w:rPr>
          <w:rFonts w:asciiTheme="majorBidi" w:hAnsiTheme="majorBidi" w:cstheme="majorBidi"/>
          <w:sz w:val="22"/>
          <w:szCs w:val="22"/>
        </w:rPr>
        <w:t>current context, where most participants were younger, the findings provide useful insight into BMI-related risks within a developing country population. Overall, the evidence suggests that excessive maternal weight is an independent contributor to preterm</w:t>
      </w:r>
      <w:r w:rsidRPr="005A2EE1">
        <w:rPr>
          <w:rFonts w:asciiTheme="majorBidi" w:hAnsiTheme="majorBidi" w:cstheme="majorBidi"/>
          <w:sz w:val="22"/>
          <w:szCs w:val="22"/>
        </w:rPr>
        <w:t xml:space="preserve"> delivery. Accordingly, integrating preconception weight optimization, nutritional counselling, and individualized antenatal care may help reduce this burden. Future research utilizing longitudinal or cohort designs and incorporating metabolic biomarkers, </w:t>
      </w:r>
      <w:r w:rsidRPr="005A2EE1">
        <w:rPr>
          <w:rFonts w:asciiTheme="majorBidi" w:hAnsiTheme="majorBidi" w:cstheme="majorBidi"/>
          <w:sz w:val="22"/>
          <w:szCs w:val="22"/>
        </w:rPr>
        <w:t xml:space="preserve">dietary assessment, and weight-gain trajectories would be valuable to clarify the biological pathways linking maternal obesity to preterm </w:t>
      </w:r>
      <w:proofErr w:type="spellStart"/>
      <w:r w:rsidRPr="005A2EE1">
        <w:rPr>
          <w:rFonts w:asciiTheme="majorBidi" w:hAnsiTheme="majorBidi" w:cstheme="majorBidi"/>
          <w:sz w:val="22"/>
          <w:szCs w:val="22"/>
        </w:rPr>
        <w:t>labour</w:t>
      </w:r>
      <w:proofErr w:type="spellEnd"/>
      <w:r w:rsidRPr="005A2EE1">
        <w:rPr>
          <w:rFonts w:asciiTheme="majorBidi" w:hAnsiTheme="majorBidi" w:cstheme="majorBidi"/>
          <w:sz w:val="22"/>
          <w:szCs w:val="22"/>
        </w:rPr>
        <w:t>.</w:t>
      </w:r>
    </w:p>
    <w:p w14:paraId="30EE48F4" w14:textId="77777777" w:rsidR="00AC34D5" w:rsidRPr="005A2EE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rPr>
        <w:t>CONCLUSION</w:t>
      </w:r>
    </w:p>
    <w:p w14:paraId="4071934E" w14:textId="77777777" w:rsidR="00AC34D5" w:rsidRPr="005A2EE1" w:rsidRDefault="00470BE4" w:rsidP="009F2E1F">
      <w:pPr>
        <w:spacing w:line="480" w:lineRule="auto"/>
        <w:ind w:left="5" w:right="72"/>
        <w:jc w:val="both"/>
        <w:rPr>
          <w:rFonts w:asciiTheme="majorBidi" w:hAnsiTheme="majorBidi" w:cstheme="majorBidi"/>
          <w:sz w:val="22"/>
          <w:szCs w:val="22"/>
        </w:rPr>
      </w:pPr>
      <w:r w:rsidRPr="005A2EE1">
        <w:rPr>
          <w:rFonts w:asciiTheme="majorBidi" w:hAnsiTheme="majorBidi" w:cstheme="majorBidi"/>
          <w:sz w:val="22"/>
          <w:szCs w:val="22"/>
        </w:rPr>
        <w:t>The study revealed that preterm births were more frequent among obese women compared to those who w</w:t>
      </w:r>
      <w:r w:rsidRPr="005A2EE1">
        <w:rPr>
          <w:rFonts w:asciiTheme="majorBidi" w:hAnsiTheme="majorBidi" w:cstheme="majorBidi"/>
          <w:sz w:val="22"/>
          <w:szCs w:val="22"/>
        </w:rPr>
        <w:t>ere overweight, although this difference did not reach statistical significance. A higher maternal BMI demonstrated a significant association with preterm delivery, highlighting excessive maternal weight as a key risk factor. Promoting preconception weight</w:t>
      </w:r>
      <w:r w:rsidRPr="005A2EE1">
        <w:rPr>
          <w:rFonts w:asciiTheme="majorBidi" w:hAnsiTheme="majorBidi" w:cstheme="majorBidi"/>
          <w:sz w:val="22"/>
          <w:szCs w:val="22"/>
        </w:rPr>
        <w:t xml:space="preserve"> optimization and individualized antenatal care could help reduce preterm birth rates in this population.</w:t>
      </w:r>
    </w:p>
    <w:p w14:paraId="602CE8EE" w14:textId="77777777" w:rsidR="00AC34D5" w:rsidRPr="005A2EE1" w:rsidRDefault="00470BE4" w:rsidP="009F2E1F">
      <w:pPr>
        <w:pStyle w:val="Heading1"/>
        <w:spacing w:after="3" w:line="480" w:lineRule="auto"/>
        <w:ind w:left="5"/>
        <w:jc w:val="both"/>
        <w:rPr>
          <w:rFonts w:asciiTheme="majorBidi" w:hAnsiTheme="majorBidi" w:cstheme="majorBidi"/>
          <w:sz w:val="22"/>
          <w:szCs w:val="22"/>
        </w:rPr>
      </w:pPr>
      <w:r w:rsidRPr="005A2EE1">
        <w:rPr>
          <w:rFonts w:asciiTheme="majorBidi" w:hAnsiTheme="majorBidi" w:cstheme="majorBidi"/>
          <w:sz w:val="22"/>
          <w:szCs w:val="22"/>
        </w:rPr>
        <w:lastRenderedPageBreak/>
        <w:t>REFERENCES</w:t>
      </w:r>
    </w:p>
    <w:p w14:paraId="35F0EB3F"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proofErr w:type="spellStart"/>
      <w:r w:rsidRPr="005A2EE1">
        <w:rPr>
          <w:rFonts w:asciiTheme="majorBidi" w:hAnsiTheme="majorBidi" w:cstheme="majorBidi"/>
          <w:sz w:val="22"/>
          <w:szCs w:val="22"/>
        </w:rPr>
        <w:t>Dagklis</w:t>
      </w:r>
      <w:proofErr w:type="spellEnd"/>
      <w:r w:rsidRPr="005A2EE1">
        <w:rPr>
          <w:rFonts w:asciiTheme="majorBidi" w:hAnsiTheme="majorBidi" w:cstheme="majorBidi"/>
          <w:sz w:val="22"/>
          <w:szCs w:val="22"/>
        </w:rPr>
        <w:t xml:space="preserve"> T, </w:t>
      </w:r>
      <w:proofErr w:type="spellStart"/>
      <w:r w:rsidRPr="005A2EE1">
        <w:rPr>
          <w:rFonts w:asciiTheme="majorBidi" w:hAnsiTheme="majorBidi" w:cstheme="majorBidi"/>
          <w:sz w:val="22"/>
          <w:szCs w:val="22"/>
        </w:rPr>
        <w:t>Tsakiridis</w:t>
      </w:r>
      <w:proofErr w:type="spellEnd"/>
      <w:r w:rsidRPr="005A2EE1">
        <w:rPr>
          <w:rFonts w:asciiTheme="majorBidi" w:hAnsiTheme="majorBidi" w:cstheme="majorBidi"/>
          <w:sz w:val="22"/>
          <w:szCs w:val="22"/>
        </w:rPr>
        <w:t xml:space="preserve"> I, </w:t>
      </w:r>
      <w:proofErr w:type="spellStart"/>
      <w:r w:rsidRPr="005A2EE1">
        <w:rPr>
          <w:rFonts w:asciiTheme="majorBidi" w:hAnsiTheme="majorBidi" w:cstheme="majorBidi"/>
          <w:sz w:val="22"/>
          <w:szCs w:val="22"/>
        </w:rPr>
        <w:t>Mamopoulos</w:t>
      </w:r>
      <w:proofErr w:type="spellEnd"/>
      <w:r w:rsidRPr="005A2EE1">
        <w:rPr>
          <w:rFonts w:asciiTheme="majorBidi" w:hAnsiTheme="majorBidi" w:cstheme="majorBidi"/>
          <w:sz w:val="22"/>
          <w:szCs w:val="22"/>
        </w:rPr>
        <w:t xml:space="preserve"> A, </w:t>
      </w:r>
      <w:proofErr w:type="spellStart"/>
      <w:r w:rsidRPr="005A2EE1">
        <w:rPr>
          <w:rFonts w:asciiTheme="majorBidi" w:hAnsiTheme="majorBidi" w:cstheme="majorBidi"/>
          <w:sz w:val="22"/>
          <w:szCs w:val="22"/>
        </w:rPr>
        <w:t>Dardavessis</w:t>
      </w:r>
      <w:proofErr w:type="spellEnd"/>
      <w:r w:rsidRPr="005A2EE1">
        <w:rPr>
          <w:rFonts w:asciiTheme="majorBidi" w:hAnsiTheme="majorBidi" w:cstheme="majorBidi"/>
          <w:sz w:val="22"/>
          <w:szCs w:val="22"/>
        </w:rPr>
        <w:t xml:space="preserve"> T, Athanasiadis A. Modifiable risk factors for spontaneous preterm birth in nulliparous </w:t>
      </w:r>
      <w:r w:rsidRPr="005A2EE1">
        <w:rPr>
          <w:rFonts w:asciiTheme="majorBidi" w:hAnsiTheme="majorBidi" w:cstheme="majorBidi"/>
          <w:sz w:val="22"/>
          <w:szCs w:val="22"/>
        </w:rPr>
        <w:t xml:space="preserve">women: a prospective study. </w:t>
      </w:r>
      <w:r w:rsidRPr="005A2EE1">
        <w:rPr>
          <w:rFonts w:asciiTheme="majorBidi" w:hAnsiTheme="majorBidi" w:cstheme="majorBidi"/>
          <w:i/>
          <w:sz w:val="22"/>
          <w:szCs w:val="22"/>
        </w:rPr>
        <w:t xml:space="preserve">J Perinat Med. </w:t>
      </w:r>
      <w:r w:rsidRPr="005A2EE1">
        <w:rPr>
          <w:rFonts w:asciiTheme="majorBidi" w:hAnsiTheme="majorBidi" w:cstheme="majorBidi"/>
          <w:sz w:val="22"/>
          <w:szCs w:val="22"/>
        </w:rPr>
        <w:t>2020;48(2):96-101.</w:t>
      </w:r>
    </w:p>
    <w:p w14:paraId="767DA23B"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proofErr w:type="spellStart"/>
      <w:r w:rsidRPr="005A2EE1">
        <w:rPr>
          <w:rFonts w:asciiTheme="majorBidi" w:hAnsiTheme="majorBidi" w:cstheme="majorBidi"/>
          <w:sz w:val="22"/>
          <w:szCs w:val="22"/>
        </w:rPr>
        <w:t>Cobo</w:t>
      </w:r>
      <w:proofErr w:type="spellEnd"/>
      <w:r w:rsidRPr="005A2EE1">
        <w:rPr>
          <w:rFonts w:asciiTheme="majorBidi" w:hAnsiTheme="majorBidi" w:cstheme="majorBidi"/>
          <w:sz w:val="22"/>
          <w:szCs w:val="22"/>
        </w:rPr>
        <w:t xml:space="preserve"> T, </w:t>
      </w:r>
      <w:proofErr w:type="spellStart"/>
      <w:r w:rsidRPr="005A2EE1">
        <w:rPr>
          <w:rFonts w:asciiTheme="majorBidi" w:hAnsiTheme="majorBidi" w:cstheme="majorBidi"/>
          <w:sz w:val="22"/>
          <w:szCs w:val="22"/>
        </w:rPr>
        <w:t>Kacerovsky</w:t>
      </w:r>
      <w:proofErr w:type="spellEnd"/>
      <w:r w:rsidRPr="005A2EE1">
        <w:rPr>
          <w:rFonts w:asciiTheme="majorBidi" w:hAnsiTheme="majorBidi" w:cstheme="majorBidi"/>
          <w:sz w:val="22"/>
          <w:szCs w:val="22"/>
        </w:rPr>
        <w:t xml:space="preserve"> M, </w:t>
      </w:r>
      <w:proofErr w:type="spellStart"/>
      <w:r w:rsidRPr="005A2EE1">
        <w:rPr>
          <w:rFonts w:asciiTheme="majorBidi" w:hAnsiTheme="majorBidi" w:cstheme="majorBidi"/>
          <w:sz w:val="22"/>
          <w:szCs w:val="22"/>
        </w:rPr>
        <w:t>Jacobsson</w:t>
      </w:r>
      <w:proofErr w:type="spellEnd"/>
      <w:r w:rsidRPr="005A2EE1">
        <w:rPr>
          <w:rFonts w:asciiTheme="majorBidi" w:hAnsiTheme="majorBidi" w:cstheme="majorBidi"/>
          <w:sz w:val="22"/>
          <w:szCs w:val="22"/>
        </w:rPr>
        <w:t xml:space="preserve"> B. Risk factors for spontaneous preterm delivery. </w:t>
      </w:r>
      <w:proofErr w:type="spellStart"/>
      <w:r w:rsidRPr="005A2EE1">
        <w:rPr>
          <w:rFonts w:asciiTheme="majorBidi" w:hAnsiTheme="majorBidi" w:cstheme="majorBidi"/>
          <w:i/>
          <w:sz w:val="22"/>
          <w:szCs w:val="22"/>
        </w:rPr>
        <w:t>Int</w:t>
      </w:r>
      <w:proofErr w:type="spellEnd"/>
      <w:r w:rsidRPr="005A2EE1">
        <w:rPr>
          <w:rFonts w:asciiTheme="majorBidi" w:hAnsiTheme="majorBidi" w:cstheme="majorBidi"/>
          <w:i/>
          <w:sz w:val="22"/>
          <w:szCs w:val="22"/>
        </w:rPr>
        <w:t xml:space="preserve"> J </w:t>
      </w:r>
      <w:proofErr w:type="spellStart"/>
      <w:r w:rsidRPr="005A2EE1">
        <w:rPr>
          <w:rFonts w:asciiTheme="majorBidi" w:hAnsiTheme="majorBidi" w:cstheme="majorBidi"/>
          <w:i/>
          <w:sz w:val="22"/>
          <w:szCs w:val="22"/>
        </w:rPr>
        <w:t>Gynaecol</w:t>
      </w:r>
      <w:proofErr w:type="spellEnd"/>
      <w:r w:rsidRPr="005A2EE1">
        <w:rPr>
          <w:rFonts w:asciiTheme="majorBidi" w:hAnsiTheme="majorBidi" w:cstheme="majorBidi"/>
          <w:i/>
          <w:sz w:val="22"/>
          <w:szCs w:val="22"/>
        </w:rPr>
        <w:t xml:space="preserve"> Obstet. </w:t>
      </w:r>
      <w:r w:rsidRPr="005A2EE1">
        <w:rPr>
          <w:rFonts w:asciiTheme="majorBidi" w:hAnsiTheme="majorBidi" w:cstheme="majorBidi"/>
          <w:sz w:val="22"/>
          <w:szCs w:val="22"/>
        </w:rPr>
        <w:t>2020;150(1):17-23.</w:t>
      </w:r>
    </w:p>
    <w:p w14:paraId="4CC5A32D"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Tersigni C, Neri C, D’Ippolito S, Garofalo S, Martino C, Lanzone A, et</w:t>
      </w:r>
      <w:r w:rsidRPr="005A2EE1">
        <w:rPr>
          <w:rFonts w:asciiTheme="majorBidi" w:hAnsiTheme="majorBidi" w:cstheme="majorBidi"/>
          <w:sz w:val="22"/>
          <w:szCs w:val="22"/>
        </w:rPr>
        <w:t xml:space="preserve"> al. Impact of maternal obesity on the risk of preterm delivery: insights into pathogenic mechanisms. J Matern Fetal Neonatal Med.</w:t>
      </w:r>
    </w:p>
    <w:p w14:paraId="5511C4FF"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proofErr w:type="spellStart"/>
      <w:r w:rsidRPr="005A2EE1">
        <w:rPr>
          <w:rFonts w:asciiTheme="majorBidi" w:hAnsiTheme="majorBidi" w:cstheme="majorBidi"/>
          <w:sz w:val="22"/>
          <w:szCs w:val="22"/>
        </w:rPr>
        <w:t>Mashayekh-Amiri</w:t>
      </w:r>
      <w:proofErr w:type="spellEnd"/>
      <w:r w:rsidRPr="005A2EE1">
        <w:rPr>
          <w:rFonts w:asciiTheme="majorBidi" w:hAnsiTheme="majorBidi" w:cstheme="majorBidi"/>
          <w:sz w:val="22"/>
          <w:szCs w:val="22"/>
        </w:rPr>
        <w:t xml:space="preserve"> S, Mohammad-</w:t>
      </w:r>
      <w:proofErr w:type="spellStart"/>
      <w:r w:rsidRPr="005A2EE1">
        <w:rPr>
          <w:rFonts w:asciiTheme="majorBidi" w:hAnsiTheme="majorBidi" w:cstheme="majorBidi"/>
          <w:sz w:val="22"/>
          <w:szCs w:val="22"/>
        </w:rPr>
        <w:t>Alizadeh</w:t>
      </w:r>
      <w:proofErr w:type="spellEnd"/>
      <w:r w:rsidRPr="005A2EE1">
        <w:rPr>
          <w:rFonts w:asciiTheme="majorBidi" w:hAnsiTheme="majorBidi" w:cstheme="majorBidi"/>
          <w:sz w:val="22"/>
          <w:szCs w:val="22"/>
        </w:rPr>
        <w:t>-</w:t>
      </w:r>
      <w:proofErr w:type="spellStart"/>
      <w:r w:rsidRPr="005A2EE1">
        <w:rPr>
          <w:rFonts w:asciiTheme="majorBidi" w:hAnsiTheme="majorBidi" w:cstheme="majorBidi"/>
          <w:sz w:val="22"/>
          <w:szCs w:val="22"/>
        </w:rPr>
        <w:t>Charandabi</w:t>
      </w:r>
      <w:proofErr w:type="spellEnd"/>
      <w:r w:rsidRPr="005A2EE1">
        <w:rPr>
          <w:rFonts w:asciiTheme="majorBidi" w:hAnsiTheme="majorBidi" w:cstheme="majorBidi"/>
          <w:sz w:val="22"/>
          <w:szCs w:val="22"/>
        </w:rPr>
        <w:t xml:space="preserve"> S, </w:t>
      </w:r>
      <w:proofErr w:type="spellStart"/>
      <w:r w:rsidRPr="005A2EE1">
        <w:rPr>
          <w:rFonts w:asciiTheme="majorBidi" w:hAnsiTheme="majorBidi" w:cstheme="majorBidi"/>
          <w:sz w:val="22"/>
          <w:szCs w:val="22"/>
        </w:rPr>
        <w:t>Abdolalipour</w:t>
      </w:r>
      <w:proofErr w:type="spellEnd"/>
      <w:r w:rsidRPr="005A2EE1">
        <w:rPr>
          <w:rFonts w:asciiTheme="majorBidi" w:hAnsiTheme="majorBidi" w:cstheme="majorBidi"/>
          <w:sz w:val="22"/>
          <w:szCs w:val="22"/>
        </w:rPr>
        <w:t xml:space="preserve"> S, </w:t>
      </w:r>
      <w:proofErr w:type="spellStart"/>
      <w:r w:rsidRPr="005A2EE1">
        <w:rPr>
          <w:rFonts w:asciiTheme="majorBidi" w:hAnsiTheme="majorBidi" w:cstheme="majorBidi"/>
          <w:sz w:val="22"/>
          <w:szCs w:val="22"/>
        </w:rPr>
        <w:t>Mirghafourvand</w:t>
      </w:r>
      <w:proofErr w:type="spellEnd"/>
      <w:r w:rsidRPr="005A2EE1">
        <w:rPr>
          <w:rFonts w:asciiTheme="majorBidi" w:hAnsiTheme="majorBidi" w:cstheme="majorBidi"/>
          <w:sz w:val="22"/>
          <w:szCs w:val="22"/>
        </w:rPr>
        <w:t xml:space="preserve"> M. Myo-inositol supplementation for prevent</w:t>
      </w:r>
      <w:r w:rsidRPr="005A2EE1">
        <w:rPr>
          <w:rFonts w:asciiTheme="majorBidi" w:hAnsiTheme="majorBidi" w:cstheme="majorBidi"/>
          <w:sz w:val="22"/>
          <w:szCs w:val="22"/>
        </w:rPr>
        <w:t xml:space="preserve">ion of gestational diabetes mellitus in overweight and obese pregnant women: a systematic review and meta-analysis. </w:t>
      </w:r>
      <w:proofErr w:type="spellStart"/>
      <w:r w:rsidRPr="005A2EE1">
        <w:rPr>
          <w:rFonts w:asciiTheme="majorBidi" w:hAnsiTheme="majorBidi" w:cstheme="majorBidi"/>
          <w:sz w:val="22"/>
          <w:szCs w:val="22"/>
        </w:rPr>
        <w:t>Diabetol</w:t>
      </w:r>
      <w:proofErr w:type="spellEnd"/>
      <w:r w:rsidRPr="005A2EE1">
        <w:rPr>
          <w:rFonts w:asciiTheme="majorBidi" w:hAnsiTheme="majorBidi" w:cstheme="majorBidi"/>
          <w:sz w:val="22"/>
          <w:szCs w:val="22"/>
        </w:rPr>
        <w:t xml:space="preserve"> </w:t>
      </w:r>
      <w:proofErr w:type="spellStart"/>
      <w:r w:rsidRPr="005A2EE1">
        <w:rPr>
          <w:rFonts w:asciiTheme="majorBidi" w:hAnsiTheme="majorBidi" w:cstheme="majorBidi"/>
          <w:sz w:val="22"/>
          <w:szCs w:val="22"/>
        </w:rPr>
        <w:t>Metab</w:t>
      </w:r>
      <w:proofErr w:type="spellEnd"/>
      <w:r w:rsidRPr="005A2EE1">
        <w:rPr>
          <w:rFonts w:asciiTheme="majorBidi" w:hAnsiTheme="majorBidi" w:cstheme="majorBidi"/>
          <w:sz w:val="22"/>
          <w:szCs w:val="22"/>
        </w:rPr>
        <w:t xml:space="preserve"> </w:t>
      </w:r>
      <w:proofErr w:type="spellStart"/>
      <w:r w:rsidRPr="005A2EE1">
        <w:rPr>
          <w:rFonts w:asciiTheme="majorBidi" w:hAnsiTheme="majorBidi" w:cstheme="majorBidi"/>
          <w:sz w:val="22"/>
          <w:szCs w:val="22"/>
        </w:rPr>
        <w:t>Syndr</w:t>
      </w:r>
      <w:proofErr w:type="spellEnd"/>
      <w:r w:rsidRPr="005A2EE1">
        <w:rPr>
          <w:rFonts w:asciiTheme="majorBidi" w:hAnsiTheme="majorBidi" w:cstheme="majorBidi"/>
          <w:sz w:val="22"/>
          <w:szCs w:val="22"/>
        </w:rPr>
        <w:t>. 2022;14(1):93.</w:t>
      </w:r>
    </w:p>
    <w:p w14:paraId="25BF47B3"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 xml:space="preserve">Berger H, Melamed N, Davis BM, Hasan H, </w:t>
      </w:r>
      <w:proofErr w:type="spellStart"/>
      <w:r w:rsidRPr="005A2EE1">
        <w:rPr>
          <w:rFonts w:asciiTheme="majorBidi" w:hAnsiTheme="majorBidi" w:cstheme="majorBidi"/>
          <w:sz w:val="22"/>
          <w:szCs w:val="22"/>
        </w:rPr>
        <w:t>Mawjee</w:t>
      </w:r>
      <w:proofErr w:type="spellEnd"/>
      <w:r w:rsidRPr="005A2EE1">
        <w:rPr>
          <w:rFonts w:asciiTheme="majorBidi" w:hAnsiTheme="majorBidi" w:cstheme="majorBidi"/>
          <w:sz w:val="22"/>
          <w:szCs w:val="22"/>
        </w:rPr>
        <w:t xml:space="preserve"> K, Barrett J, et al. Impact of diabetes, obesity and hypertension on preterm birth: population-based study. </w:t>
      </w:r>
      <w:proofErr w:type="spellStart"/>
      <w:r w:rsidRPr="005A2EE1">
        <w:rPr>
          <w:rFonts w:asciiTheme="majorBidi" w:hAnsiTheme="majorBidi" w:cstheme="majorBidi"/>
          <w:sz w:val="22"/>
          <w:szCs w:val="22"/>
        </w:rPr>
        <w:t>PLoS</w:t>
      </w:r>
      <w:proofErr w:type="spellEnd"/>
      <w:r w:rsidRPr="005A2EE1">
        <w:rPr>
          <w:rFonts w:asciiTheme="majorBidi" w:hAnsiTheme="majorBidi" w:cstheme="majorBidi"/>
          <w:sz w:val="22"/>
          <w:szCs w:val="22"/>
        </w:rPr>
        <w:t xml:space="preserve"> One. 2020;15(3</w:t>
      </w:r>
      <w:proofErr w:type="gramStart"/>
      <w:r w:rsidRPr="005A2EE1">
        <w:rPr>
          <w:rFonts w:asciiTheme="majorBidi" w:hAnsiTheme="majorBidi" w:cstheme="majorBidi"/>
          <w:sz w:val="22"/>
          <w:szCs w:val="22"/>
        </w:rPr>
        <w:t>):e</w:t>
      </w:r>
      <w:proofErr w:type="gramEnd"/>
      <w:r w:rsidRPr="005A2EE1">
        <w:rPr>
          <w:rFonts w:asciiTheme="majorBidi" w:hAnsiTheme="majorBidi" w:cstheme="majorBidi"/>
          <w:sz w:val="22"/>
          <w:szCs w:val="22"/>
        </w:rPr>
        <w:t>0228743.</w:t>
      </w:r>
    </w:p>
    <w:p w14:paraId="362E686F"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Baldassarre ME, Di Mauro A, Caroli M, Schettini F, Rizzo V, Panza R, et al. Premature birth is an independent risk f</w:t>
      </w:r>
      <w:r w:rsidRPr="005A2EE1">
        <w:rPr>
          <w:rFonts w:asciiTheme="majorBidi" w:hAnsiTheme="majorBidi" w:cstheme="majorBidi"/>
          <w:sz w:val="22"/>
          <w:szCs w:val="22"/>
        </w:rPr>
        <w:t>actor for early adiposity rebound: longitudinal analysis of BMI data from birth to 7 years. Nutrients. 2020;12(12):3654.</w:t>
      </w:r>
    </w:p>
    <w:p w14:paraId="2D692BF6"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Liu K, Chen Y, Tong J, Yin A, Wu L, Niu J. Association of maternal obesity with preterm birth phenotype and mediation effects of gestat</w:t>
      </w:r>
      <w:r w:rsidRPr="005A2EE1">
        <w:rPr>
          <w:rFonts w:asciiTheme="majorBidi" w:hAnsiTheme="majorBidi" w:cstheme="majorBidi"/>
          <w:sz w:val="22"/>
          <w:szCs w:val="22"/>
        </w:rPr>
        <w:t>ional diabetes mellitus and preeclampsia: a prospective cohort study. BMC Pregnancy Childbirth. 2022;22(1):459.</w:t>
      </w:r>
    </w:p>
    <w:p w14:paraId="36C85AB4"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lastRenderedPageBreak/>
        <w:t xml:space="preserve">González-Plaza E, </w:t>
      </w:r>
      <w:proofErr w:type="spellStart"/>
      <w:r w:rsidRPr="005A2EE1">
        <w:rPr>
          <w:rFonts w:asciiTheme="majorBidi" w:hAnsiTheme="majorBidi" w:cstheme="majorBidi"/>
          <w:sz w:val="22"/>
          <w:szCs w:val="22"/>
        </w:rPr>
        <w:t>Bellart</w:t>
      </w:r>
      <w:proofErr w:type="spellEnd"/>
      <w:r w:rsidRPr="005A2EE1">
        <w:rPr>
          <w:rFonts w:asciiTheme="majorBidi" w:hAnsiTheme="majorBidi" w:cstheme="majorBidi"/>
          <w:sz w:val="22"/>
          <w:szCs w:val="22"/>
        </w:rPr>
        <w:t xml:space="preserve"> J, </w:t>
      </w:r>
      <w:proofErr w:type="spellStart"/>
      <w:r w:rsidRPr="005A2EE1">
        <w:rPr>
          <w:rFonts w:asciiTheme="majorBidi" w:hAnsiTheme="majorBidi" w:cstheme="majorBidi"/>
          <w:sz w:val="22"/>
          <w:szCs w:val="22"/>
        </w:rPr>
        <w:t>Martínez-Verdú</w:t>
      </w:r>
      <w:proofErr w:type="spellEnd"/>
      <w:r w:rsidRPr="005A2EE1">
        <w:rPr>
          <w:rFonts w:asciiTheme="majorBidi" w:hAnsiTheme="majorBidi" w:cstheme="majorBidi"/>
          <w:sz w:val="22"/>
          <w:szCs w:val="22"/>
        </w:rPr>
        <w:t xml:space="preserve"> MÁ, </w:t>
      </w:r>
      <w:proofErr w:type="spellStart"/>
      <w:r w:rsidRPr="005A2EE1">
        <w:rPr>
          <w:rFonts w:asciiTheme="majorBidi" w:hAnsiTheme="majorBidi" w:cstheme="majorBidi"/>
          <w:sz w:val="22"/>
          <w:szCs w:val="22"/>
        </w:rPr>
        <w:t>Arranz</w:t>
      </w:r>
      <w:proofErr w:type="spellEnd"/>
      <w:r w:rsidRPr="005A2EE1">
        <w:rPr>
          <w:rFonts w:asciiTheme="majorBidi" w:hAnsiTheme="majorBidi" w:cstheme="majorBidi"/>
          <w:sz w:val="22"/>
          <w:szCs w:val="22"/>
        </w:rPr>
        <w:t xml:space="preserve"> Á, </w:t>
      </w:r>
      <w:proofErr w:type="spellStart"/>
      <w:r w:rsidRPr="005A2EE1">
        <w:rPr>
          <w:rFonts w:asciiTheme="majorBidi" w:hAnsiTheme="majorBidi" w:cstheme="majorBidi"/>
          <w:sz w:val="22"/>
          <w:szCs w:val="22"/>
        </w:rPr>
        <w:t>Luján</w:t>
      </w:r>
      <w:proofErr w:type="spellEnd"/>
      <w:r w:rsidRPr="005A2EE1">
        <w:rPr>
          <w:rFonts w:asciiTheme="majorBidi" w:hAnsiTheme="majorBidi" w:cstheme="majorBidi"/>
          <w:sz w:val="22"/>
          <w:szCs w:val="22"/>
        </w:rPr>
        <w:t xml:space="preserve">-Barroso L, </w:t>
      </w:r>
      <w:proofErr w:type="spellStart"/>
      <w:r w:rsidRPr="005A2EE1">
        <w:rPr>
          <w:rFonts w:asciiTheme="majorBidi" w:hAnsiTheme="majorBidi" w:cstheme="majorBidi"/>
          <w:sz w:val="22"/>
          <w:szCs w:val="22"/>
        </w:rPr>
        <w:t>Seguranyes</w:t>
      </w:r>
      <w:proofErr w:type="spellEnd"/>
      <w:r w:rsidRPr="005A2EE1">
        <w:rPr>
          <w:rFonts w:asciiTheme="majorBidi" w:hAnsiTheme="majorBidi" w:cstheme="majorBidi"/>
          <w:sz w:val="22"/>
          <w:szCs w:val="22"/>
        </w:rPr>
        <w:t xml:space="preserve"> G. </w:t>
      </w:r>
      <w:proofErr w:type="spellStart"/>
      <w:r w:rsidRPr="005A2EE1">
        <w:rPr>
          <w:rFonts w:asciiTheme="majorBidi" w:hAnsiTheme="majorBidi" w:cstheme="majorBidi"/>
          <w:sz w:val="22"/>
          <w:szCs w:val="22"/>
        </w:rPr>
        <w:t>Prepregnancy</w:t>
      </w:r>
      <w:proofErr w:type="spellEnd"/>
      <w:r w:rsidRPr="005A2EE1">
        <w:rPr>
          <w:rFonts w:asciiTheme="majorBidi" w:hAnsiTheme="majorBidi" w:cstheme="majorBidi"/>
          <w:sz w:val="22"/>
          <w:szCs w:val="22"/>
        </w:rPr>
        <w:t xml:space="preserve"> overweight and obesity prevalence and rela</w:t>
      </w:r>
      <w:r w:rsidRPr="005A2EE1">
        <w:rPr>
          <w:rFonts w:asciiTheme="majorBidi" w:hAnsiTheme="majorBidi" w:cstheme="majorBidi"/>
          <w:sz w:val="22"/>
          <w:szCs w:val="22"/>
        </w:rPr>
        <w:t xml:space="preserve">tion to maternal and perinatal outcomes. </w:t>
      </w:r>
      <w:proofErr w:type="spellStart"/>
      <w:r w:rsidRPr="005A2EE1">
        <w:rPr>
          <w:rFonts w:asciiTheme="majorBidi" w:hAnsiTheme="majorBidi" w:cstheme="majorBidi"/>
          <w:i/>
          <w:sz w:val="22"/>
          <w:szCs w:val="22"/>
        </w:rPr>
        <w:t>Enferm</w:t>
      </w:r>
      <w:proofErr w:type="spellEnd"/>
      <w:r w:rsidRPr="005A2EE1">
        <w:rPr>
          <w:rFonts w:asciiTheme="majorBidi" w:hAnsiTheme="majorBidi" w:cstheme="majorBidi"/>
          <w:i/>
          <w:sz w:val="22"/>
          <w:szCs w:val="22"/>
        </w:rPr>
        <w:t xml:space="preserve"> </w:t>
      </w:r>
      <w:proofErr w:type="spellStart"/>
      <w:r w:rsidRPr="005A2EE1">
        <w:rPr>
          <w:rFonts w:asciiTheme="majorBidi" w:hAnsiTheme="majorBidi" w:cstheme="majorBidi"/>
          <w:i/>
          <w:sz w:val="22"/>
          <w:szCs w:val="22"/>
        </w:rPr>
        <w:t>Clin</w:t>
      </w:r>
      <w:proofErr w:type="spellEnd"/>
      <w:r w:rsidRPr="005A2EE1">
        <w:rPr>
          <w:rFonts w:asciiTheme="majorBidi" w:hAnsiTheme="majorBidi" w:cstheme="majorBidi"/>
          <w:i/>
          <w:sz w:val="22"/>
          <w:szCs w:val="22"/>
        </w:rPr>
        <w:t xml:space="preserve"> (</w:t>
      </w:r>
      <w:proofErr w:type="spellStart"/>
      <w:r w:rsidRPr="005A2EE1">
        <w:rPr>
          <w:rFonts w:asciiTheme="majorBidi" w:hAnsiTheme="majorBidi" w:cstheme="majorBidi"/>
          <w:i/>
          <w:sz w:val="22"/>
          <w:szCs w:val="22"/>
        </w:rPr>
        <w:t>Engl</w:t>
      </w:r>
      <w:proofErr w:type="spellEnd"/>
      <w:r w:rsidRPr="005A2EE1">
        <w:rPr>
          <w:rFonts w:asciiTheme="majorBidi" w:hAnsiTheme="majorBidi" w:cstheme="majorBidi"/>
          <w:i/>
          <w:sz w:val="22"/>
          <w:szCs w:val="22"/>
        </w:rPr>
        <w:t xml:space="preserve"> Ed). </w:t>
      </w:r>
      <w:r w:rsidRPr="005A2EE1">
        <w:rPr>
          <w:rFonts w:asciiTheme="majorBidi" w:hAnsiTheme="majorBidi" w:cstheme="majorBidi"/>
          <w:sz w:val="22"/>
          <w:szCs w:val="22"/>
        </w:rPr>
        <w:t>2022;</w:t>
      </w:r>
      <w:proofErr w:type="gramStart"/>
      <w:r w:rsidRPr="005A2EE1">
        <w:rPr>
          <w:rFonts w:asciiTheme="majorBidi" w:hAnsiTheme="majorBidi" w:cstheme="majorBidi"/>
          <w:sz w:val="22"/>
          <w:szCs w:val="22"/>
        </w:rPr>
        <w:t>32:S</w:t>
      </w:r>
      <w:proofErr w:type="gramEnd"/>
      <w:r w:rsidRPr="005A2EE1">
        <w:rPr>
          <w:rFonts w:asciiTheme="majorBidi" w:hAnsiTheme="majorBidi" w:cstheme="majorBidi"/>
          <w:sz w:val="22"/>
          <w:szCs w:val="22"/>
        </w:rPr>
        <w:t>23-30.</w:t>
      </w:r>
    </w:p>
    <w:p w14:paraId="3F4C792B"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 xml:space="preserve">Slack E, Best KE, Rankin J, </w:t>
      </w:r>
      <w:proofErr w:type="spellStart"/>
      <w:r w:rsidRPr="005A2EE1">
        <w:rPr>
          <w:rFonts w:asciiTheme="majorBidi" w:hAnsiTheme="majorBidi" w:cstheme="majorBidi"/>
          <w:sz w:val="22"/>
          <w:szCs w:val="22"/>
        </w:rPr>
        <w:t>Heslehurst</w:t>
      </w:r>
      <w:proofErr w:type="spellEnd"/>
      <w:r w:rsidRPr="005A2EE1">
        <w:rPr>
          <w:rFonts w:asciiTheme="majorBidi" w:hAnsiTheme="majorBidi" w:cstheme="majorBidi"/>
          <w:sz w:val="22"/>
          <w:szCs w:val="22"/>
        </w:rPr>
        <w:t xml:space="preserve"> N. Maternal obesity classes, preterm and post-term birth: a retrospective analysis of 479,864 births in England. BMC Pregnancy Childbirth</w:t>
      </w:r>
      <w:r w:rsidRPr="005A2EE1">
        <w:rPr>
          <w:rFonts w:asciiTheme="majorBidi" w:hAnsiTheme="majorBidi" w:cstheme="majorBidi"/>
          <w:sz w:val="22"/>
          <w:szCs w:val="22"/>
        </w:rPr>
        <w:t>. 2019;19(1):434.</w:t>
      </w:r>
    </w:p>
    <w:p w14:paraId="73D12EED"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 xml:space="preserve">Liu B, Xu G, Sun Y, Du Y, Gao R, </w:t>
      </w:r>
      <w:proofErr w:type="spellStart"/>
      <w:r w:rsidRPr="005A2EE1">
        <w:rPr>
          <w:rFonts w:asciiTheme="majorBidi" w:hAnsiTheme="majorBidi" w:cstheme="majorBidi"/>
          <w:sz w:val="22"/>
          <w:szCs w:val="22"/>
        </w:rPr>
        <w:t>Snetselaar</w:t>
      </w:r>
      <w:proofErr w:type="spellEnd"/>
      <w:r w:rsidRPr="005A2EE1">
        <w:rPr>
          <w:rFonts w:asciiTheme="majorBidi" w:hAnsiTheme="majorBidi" w:cstheme="majorBidi"/>
          <w:sz w:val="22"/>
          <w:szCs w:val="22"/>
        </w:rPr>
        <w:t xml:space="preserve"> LG, et al. Association between maternal </w:t>
      </w:r>
      <w:proofErr w:type="spellStart"/>
      <w:r w:rsidRPr="005A2EE1">
        <w:rPr>
          <w:rFonts w:asciiTheme="majorBidi" w:hAnsiTheme="majorBidi" w:cstheme="majorBidi"/>
          <w:sz w:val="22"/>
          <w:szCs w:val="22"/>
        </w:rPr>
        <w:t>prepregnancy</w:t>
      </w:r>
      <w:proofErr w:type="spellEnd"/>
      <w:r w:rsidRPr="005A2EE1">
        <w:rPr>
          <w:rFonts w:asciiTheme="majorBidi" w:hAnsiTheme="majorBidi" w:cstheme="majorBidi"/>
          <w:sz w:val="22"/>
          <w:szCs w:val="22"/>
        </w:rPr>
        <w:t xml:space="preserve"> obesity and preterm birth according to maternal age and race or ethnicity: a population-based study. Lancet Diabetes Endocrinol. 2019;7(9):70</w:t>
      </w:r>
      <w:r w:rsidRPr="005A2EE1">
        <w:rPr>
          <w:rFonts w:asciiTheme="majorBidi" w:hAnsiTheme="majorBidi" w:cstheme="majorBidi"/>
          <w:sz w:val="22"/>
          <w:szCs w:val="22"/>
        </w:rPr>
        <w:t>7-14.</w:t>
      </w:r>
    </w:p>
    <w:p w14:paraId="3B021ECD"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 xml:space="preserve">Liu B, Xu G, Sun Y, Du Y, Gao R, </w:t>
      </w:r>
      <w:proofErr w:type="spellStart"/>
      <w:r w:rsidRPr="005A2EE1">
        <w:rPr>
          <w:rFonts w:asciiTheme="majorBidi" w:hAnsiTheme="majorBidi" w:cstheme="majorBidi"/>
          <w:sz w:val="22"/>
          <w:szCs w:val="22"/>
        </w:rPr>
        <w:t>Snetselaar</w:t>
      </w:r>
      <w:proofErr w:type="spellEnd"/>
      <w:r w:rsidRPr="005A2EE1">
        <w:rPr>
          <w:rFonts w:asciiTheme="majorBidi" w:hAnsiTheme="majorBidi" w:cstheme="majorBidi"/>
          <w:sz w:val="22"/>
          <w:szCs w:val="22"/>
        </w:rPr>
        <w:t xml:space="preserve"> LG, et al. Association between maternal </w:t>
      </w:r>
      <w:proofErr w:type="spellStart"/>
      <w:r w:rsidRPr="005A2EE1">
        <w:rPr>
          <w:rFonts w:asciiTheme="majorBidi" w:hAnsiTheme="majorBidi" w:cstheme="majorBidi"/>
          <w:sz w:val="22"/>
          <w:szCs w:val="22"/>
        </w:rPr>
        <w:t>prepregnancy</w:t>
      </w:r>
      <w:proofErr w:type="spellEnd"/>
      <w:r w:rsidRPr="005A2EE1">
        <w:rPr>
          <w:rFonts w:asciiTheme="majorBidi" w:hAnsiTheme="majorBidi" w:cstheme="majorBidi"/>
          <w:sz w:val="22"/>
          <w:szCs w:val="22"/>
        </w:rPr>
        <w:t xml:space="preserve"> obesity and preterm birth according to maternal age and race or ethnicity: a population-based study. Lancet Diabetes Endocrinol. 2019;7(9):707-14.</w:t>
      </w:r>
    </w:p>
    <w:p w14:paraId="5B647D1B"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 xml:space="preserve">Zheng </w:t>
      </w:r>
      <w:r w:rsidRPr="005A2EE1">
        <w:rPr>
          <w:rFonts w:asciiTheme="majorBidi" w:hAnsiTheme="majorBidi" w:cstheme="majorBidi"/>
          <w:sz w:val="22"/>
          <w:szCs w:val="22"/>
        </w:rPr>
        <w:t xml:space="preserve">S, Zhang H, Chen R, Yan J, Han Q. Pregnancy complicated with hepatitis B virus infection and preterm birth: a retrospective cohort study. </w:t>
      </w:r>
      <w:r w:rsidRPr="005A2EE1">
        <w:rPr>
          <w:rFonts w:asciiTheme="majorBidi" w:hAnsiTheme="majorBidi" w:cstheme="majorBidi"/>
          <w:i/>
          <w:sz w:val="22"/>
          <w:szCs w:val="22"/>
        </w:rPr>
        <w:t xml:space="preserve">BMC Pregnancy Childbirth. </w:t>
      </w:r>
      <w:r w:rsidRPr="005A2EE1">
        <w:rPr>
          <w:rFonts w:asciiTheme="majorBidi" w:hAnsiTheme="majorBidi" w:cstheme="majorBidi"/>
          <w:sz w:val="22"/>
          <w:szCs w:val="22"/>
        </w:rPr>
        <w:t>2021;21(1):513.</w:t>
      </w:r>
    </w:p>
    <w:p w14:paraId="39205E75"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Ye CX, Chen SB, Wang TT, Zhang SM, Qin JB, Chen LZ. Risk factors for preterm</w:t>
      </w:r>
      <w:r w:rsidRPr="005A2EE1">
        <w:rPr>
          <w:rFonts w:asciiTheme="majorBidi" w:hAnsiTheme="majorBidi" w:cstheme="majorBidi"/>
          <w:sz w:val="22"/>
          <w:szCs w:val="22"/>
        </w:rPr>
        <w:t xml:space="preserve"> birth: a prospective cohort study. </w:t>
      </w:r>
      <w:proofErr w:type="spellStart"/>
      <w:r w:rsidRPr="005A2EE1">
        <w:rPr>
          <w:rFonts w:asciiTheme="majorBidi" w:hAnsiTheme="majorBidi" w:cstheme="majorBidi"/>
          <w:sz w:val="22"/>
          <w:szCs w:val="22"/>
        </w:rPr>
        <w:t>Zhongguo</w:t>
      </w:r>
      <w:proofErr w:type="spellEnd"/>
      <w:r w:rsidRPr="005A2EE1">
        <w:rPr>
          <w:rFonts w:asciiTheme="majorBidi" w:hAnsiTheme="majorBidi" w:cstheme="majorBidi"/>
          <w:sz w:val="22"/>
          <w:szCs w:val="22"/>
        </w:rPr>
        <w:t xml:space="preserve"> Dang Dai </w:t>
      </w:r>
      <w:proofErr w:type="spellStart"/>
      <w:r w:rsidRPr="005A2EE1">
        <w:rPr>
          <w:rFonts w:asciiTheme="majorBidi" w:hAnsiTheme="majorBidi" w:cstheme="majorBidi"/>
          <w:sz w:val="22"/>
          <w:szCs w:val="22"/>
        </w:rPr>
        <w:t>Er</w:t>
      </w:r>
      <w:proofErr w:type="spellEnd"/>
      <w:r w:rsidRPr="005A2EE1">
        <w:rPr>
          <w:rFonts w:asciiTheme="majorBidi" w:hAnsiTheme="majorBidi" w:cstheme="majorBidi"/>
          <w:sz w:val="22"/>
          <w:szCs w:val="22"/>
        </w:rPr>
        <w:t xml:space="preserve"> Ke Za Zhi. 2021;23(12):1242-9.</w:t>
      </w:r>
    </w:p>
    <w:p w14:paraId="29D48CB1"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 xml:space="preserve">Wang MC, Freaney PM, Perak AM, Greenland P, Lloyd-Jones DM, Grobman WA, et al. Trends in </w:t>
      </w:r>
      <w:proofErr w:type="spellStart"/>
      <w:r w:rsidRPr="005A2EE1">
        <w:rPr>
          <w:rFonts w:asciiTheme="majorBidi" w:hAnsiTheme="majorBidi" w:cstheme="majorBidi"/>
          <w:sz w:val="22"/>
          <w:szCs w:val="22"/>
        </w:rPr>
        <w:t>prepregnancy</w:t>
      </w:r>
      <w:proofErr w:type="spellEnd"/>
      <w:r w:rsidRPr="005A2EE1">
        <w:rPr>
          <w:rFonts w:asciiTheme="majorBidi" w:hAnsiTheme="majorBidi" w:cstheme="majorBidi"/>
          <w:sz w:val="22"/>
          <w:szCs w:val="22"/>
        </w:rPr>
        <w:t xml:space="preserve"> obesity and association with adverse pregnancy outcomes in the Uni</w:t>
      </w:r>
      <w:r w:rsidRPr="005A2EE1">
        <w:rPr>
          <w:rFonts w:asciiTheme="majorBidi" w:hAnsiTheme="majorBidi" w:cstheme="majorBidi"/>
          <w:sz w:val="22"/>
          <w:szCs w:val="22"/>
        </w:rPr>
        <w:t xml:space="preserve">ted States, 2013 to 2018. </w:t>
      </w:r>
      <w:r w:rsidRPr="005A2EE1">
        <w:rPr>
          <w:rFonts w:asciiTheme="majorBidi" w:hAnsiTheme="majorBidi" w:cstheme="majorBidi"/>
          <w:i/>
          <w:sz w:val="22"/>
          <w:szCs w:val="22"/>
        </w:rPr>
        <w:t xml:space="preserve">J Am Heart Assoc. </w:t>
      </w:r>
      <w:r w:rsidRPr="005A2EE1">
        <w:rPr>
          <w:rFonts w:asciiTheme="majorBidi" w:hAnsiTheme="majorBidi" w:cstheme="majorBidi"/>
          <w:sz w:val="22"/>
          <w:szCs w:val="22"/>
        </w:rPr>
        <w:t>2021;10(17</w:t>
      </w:r>
      <w:proofErr w:type="gramStart"/>
      <w:r w:rsidRPr="005A2EE1">
        <w:rPr>
          <w:rFonts w:asciiTheme="majorBidi" w:hAnsiTheme="majorBidi" w:cstheme="majorBidi"/>
          <w:sz w:val="22"/>
          <w:szCs w:val="22"/>
        </w:rPr>
        <w:t>):e</w:t>
      </w:r>
      <w:proofErr w:type="gramEnd"/>
      <w:r w:rsidRPr="005A2EE1">
        <w:rPr>
          <w:rFonts w:asciiTheme="majorBidi" w:hAnsiTheme="majorBidi" w:cstheme="majorBidi"/>
          <w:sz w:val="22"/>
          <w:szCs w:val="22"/>
        </w:rPr>
        <w:t>020717.</w:t>
      </w:r>
    </w:p>
    <w:p w14:paraId="5A262223"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t xml:space="preserve">Su XJ, Huang SJ, Li X, Du QL. </w:t>
      </w:r>
      <w:proofErr w:type="spellStart"/>
      <w:r w:rsidRPr="005A2EE1">
        <w:rPr>
          <w:rFonts w:asciiTheme="majorBidi" w:hAnsiTheme="majorBidi" w:cstheme="majorBidi"/>
          <w:sz w:val="22"/>
          <w:szCs w:val="22"/>
        </w:rPr>
        <w:t>Prepregnancy</w:t>
      </w:r>
      <w:proofErr w:type="spellEnd"/>
      <w:r w:rsidRPr="005A2EE1">
        <w:rPr>
          <w:rFonts w:asciiTheme="majorBidi" w:hAnsiTheme="majorBidi" w:cstheme="majorBidi"/>
          <w:sz w:val="22"/>
          <w:szCs w:val="22"/>
        </w:rPr>
        <w:t xml:space="preserve"> overweight and obesity are associated with an increased risk of preterm birth in Chinese women. </w:t>
      </w:r>
      <w:proofErr w:type="spellStart"/>
      <w:r w:rsidRPr="005A2EE1">
        <w:rPr>
          <w:rFonts w:asciiTheme="majorBidi" w:hAnsiTheme="majorBidi" w:cstheme="majorBidi"/>
          <w:i/>
          <w:sz w:val="22"/>
          <w:szCs w:val="22"/>
        </w:rPr>
        <w:t>Obes</w:t>
      </w:r>
      <w:proofErr w:type="spellEnd"/>
      <w:r w:rsidRPr="005A2EE1">
        <w:rPr>
          <w:rFonts w:asciiTheme="majorBidi" w:hAnsiTheme="majorBidi" w:cstheme="majorBidi"/>
          <w:i/>
          <w:sz w:val="22"/>
          <w:szCs w:val="22"/>
        </w:rPr>
        <w:t xml:space="preserve"> Facts. </w:t>
      </w:r>
      <w:r w:rsidRPr="005A2EE1">
        <w:rPr>
          <w:rFonts w:asciiTheme="majorBidi" w:hAnsiTheme="majorBidi" w:cstheme="majorBidi"/>
          <w:sz w:val="22"/>
          <w:szCs w:val="22"/>
        </w:rPr>
        <w:t>2020;13(2):237-44.</w:t>
      </w:r>
    </w:p>
    <w:p w14:paraId="03F88FA1" w14:textId="77777777" w:rsidR="00AC34D5" w:rsidRPr="005A2EE1" w:rsidRDefault="00470BE4" w:rsidP="009F2E1F">
      <w:pPr>
        <w:numPr>
          <w:ilvl w:val="0"/>
          <w:numId w:val="1"/>
        </w:numPr>
        <w:spacing w:line="480" w:lineRule="auto"/>
        <w:ind w:right="72"/>
        <w:jc w:val="both"/>
        <w:rPr>
          <w:rFonts w:asciiTheme="majorBidi" w:hAnsiTheme="majorBidi" w:cstheme="majorBidi"/>
          <w:sz w:val="22"/>
          <w:szCs w:val="22"/>
        </w:rPr>
      </w:pPr>
      <w:r w:rsidRPr="005A2EE1">
        <w:rPr>
          <w:rFonts w:asciiTheme="majorBidi" w:hAnsiTheme="majorBidi" w:cstheme="majorBidi"/>
          <w:sz w:val="22"/>
          <w:szCs w:val="22"/>
        </w:rPr>
        <w:lastRenderedPageBreak/>
        <w:t xml:space="preserve">Sobczyk K, </w:t>
      </w:r>
      <w:proofErr w:type="spellStart"/>
      <w:r w:rsidRPr="005A2EE1">
        <w:rPr>
          <w:rFonts w:asciiTheme="majorBidi" w:hAnsiTheme="majorBidi" w:cstheme="majorBidi"/>
          <w:sz w:val="22"/>
          <w:szCs w:val="22"/>
        </w:rPr>
        <w:t>Holecki</w:t>
      </w:r>
      <w:proofErr w:type="spellEnd"/>
      <w:r w:rsidRPr="005A2EE1">
        <w:rPr>
          <w:rFonts w:asciiTheme="majorBidi" w:hAnsiTheme="majorBidi" w:cstheme="majorBidi"/>
          <w:sz w:val="22"/>
          <w:szCs w:val="22"/>
        </w:rPr>
        <w:t xml:space="preserve"> T,</w:t>
      </w:r>
      <w:r w:rsidRPr="005A2EE1">
        <w:rPr>
          <w:rFonts w:asciiTheme="majorBidi" w:hAnsiTheme="majorBidi" w:cstheme="majorBidi"/>
          <w:sz w:val="22"/>
          <w:szCs w:val="22"/>
        </w:rPr>
        <w:t xml:space="preserve"> </w:t>
      </w:r>
      <w:proofErr w:type="spellStart"/>
      <w:r w:rsidRPr="005A2EE1">
        <w:rPr>
          <w:rFonts w:asciiTheme="majorBidi" w:hAnsiTheme="majorBidi" w:cstheme="majorBidi"/>
          <w:sz w:val="22"/>
          <w:szCs w:val="22"/>
        </w:rPr>
        <w:t>Woźniak-Holecka</w:t>
      </w:r>
      <w:proofErr w:type="spellEnd"/>
      <w:r w:rsidRPr="005A2EE1">
        <w:rPr>
          <w:rFonts w:asciiTheme="majorBidi" w:hAnsiTheme="majorBidi" w:cstheme="majorBidi"/>
          <w:sz w:val="22"/>
          <w:szCs w:val="22"/>
        </w:rPr>
        <w:t xml:space="preserve"> J, Grajek M. Does maternal obesity affect preterm birth? documentary cohort study of preterm in firstborns—Silesia (Poland). Children. 2022 Jul 6;9(7):1007.</w:t>
      </w:r>
    </w:p>
    <w:sectPr w:rsidR="00AC34D5" w:rsidRPr="005A2EE1">
      <w:headerReference w:type="even" r:id="rId7"/>
      <w:headerReference w:type="default" r:id="rId8"/>
      <w:footerReference w:type="even" r:id="rId9"/>
      <w:footerReference w:type="default" r:id="rId10"/>
      <w:headerReference w:type="first" r:id="rId11"/>
      <w:footerReference w:type="first" r:id="rId12"/>
      <w:pgSz w:w="12240" w:h="15840"/>
      <w:pgMar w:top="2290" w:right="1382" w:bottom="2065" w:left="1440" w:header="545" w:footer="22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70EC9D" w14:textId="77777777" w:rsidR="00470BE4" w:rsidRDefault="00470BE4">
      <w:pPr>
        <w:spacing w:after="0" w:line="240" w:lineRule="auto"/>
      </w:pPr>
      <w:r>
        <w:separator/>
      </w:r>
    </w:p>
  </w:endnote>
  <w:endnote w:type="continuationSeparator" w:id="0">
    <w:p w14:paraId="5571073B" w14:textId="77777777" w:rsidR="00470BE4" w:rsidRDefault="00470B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79E0FB" w14:textId="77777777" w:rsidR="00AC34D5" w:rsidRDefault="00470BE4">
    <w:pPr>
      <w:spacing w:after="0" w:line="259" w:lineRule="auto"/>
      <w:ind w:left="98" w:right="143" w:firstLine="0"/>
    </w:pPr>
    <w:r>
      <w:rPr>
        <w:noProof/>
      </w:rPr>
      <w:drawing>
        <wp:anchor distT="0" distB="0" distL="114300" distR="114300" simplePos="0" relativeHeight="251661312" behindDoc="0" locked="0" layoutInCell="1" allowOverlap="0" wp14:anchorId="3A08F55A" wp14:editId="04B94B8D">
          <wp:simplePos x="0" y="0"/>
          <wp:positionH relativeFrom="page">
            <wp:posOffset>5710428</wp:posOffset>
          </wp:positionH>
          <wp:positionV relativeFrom="page">
            <wp:posOffset>8945880</wp:posOffset>
          </wp:positionV>
          <wp:extent cx="615696" cy="365760"/>
          <wp:effectExtent l="0" t="0" r="0" b="0"/>
          <wp:wrapSquare wrapText="bothSides"/>
          <wp:docPr id="22614" name="Picture 22614"/>
          <wp:cNvGraphicFramePr/>
          <a:graphic xmlns:a="http://schemas.openxmlformats.org/drawingml/2006/main">
            <a:graphicData uri="http://schemas.openxmlformats.org/drawingml/2006/picture">
              <pic:pic xmlns:pic="http://schemas.openxmlformats.org/drawingml/2006/picture">
                <pic:nvPicPr>
                  <pic:cNvPr id="22614" name="Picture 22614"/>
                  <pic:cNvPicPr/>
                </pic:nvPicPr>
                <pic:blipFill>
                  <a:blip r:embed="rId1"/>
                  <a:stretch>
                    <a:fillRect/>
                  </a:stretch>
                </pic:blipFill>
                <pic:spPr>
                  <a:xfrm>
                    <a:off x="0" y="0"/>
                    <a:ext cx="615696" cy="365760"/>
                  </a:xfrm>
                  <a:prstGeom prst="rect">
                    <a:avLst/>
                  </a:prstGeom>
                </pic:spPr>
              </pic:pic>
            </a:graphicData>
          </a:graphic>
        </wp:anchor>
      </w:drawing>
    </w:r>
    <w:r>
      <w:rPr>
        <w:color w:val="548DD4"/>
        <w:sz w:val="18"/>
      </w:rPr>
      <w:t>Health Affairs ISSN - 0278-2715 Volume 13 ISSUE 10 page 4765-4773</w:t>
    </w:r>
  </w:p>
  <w:p w14:paraId="72B8BFF1" w14:textId="77777777" w:rsidR="00AC34D5" w:rsidRDefault="00470BE4">
    <w:pPr>
      <w:spacing w:after="0" w:line="259" w:lineRule="auto"/>
      <w:ind w:left="98" w:right="143" w:firstLine="0"/>
    </w:pPr>
    <w:r>
      <w:rPr>
        <w:color w:val="548DD4"/>
        <w:sz w:val="18"/>
      </w:rPr>
      <w:t>Journal link: https://health-affairs.com/</w:t>
    </w:r>
  </w:p>
  <w:p w14:paraId="34A87AAF" w14:textId="77777777" w:rsidR="00AC34D5" w:rsidRDefault="00470BE4">
    <w:pPr>
      <w:spacing w:after="0" w:line="259" w:lineRule="auto"/>
      <w:ind w:left="98" w:right="143" w:firstLine="0"/>
    </w:pPr>
    <w:r>
      <w:rPr>
        <w:color w:val="548DD4"/>
        <w:sz w:val="18"/>
      </w:rPr>
      <w:t>Abstract Link: https://health-affairs.com/13-10-47565-4773/</w:t>
    </w:r>
  </w:p>
  <w:p w14:paraId="3E776869" w14:textId="77777777" w:rsidR="00AC34D5" w:rsidRDefault="00470BE4">
    <w:pPr>
      <w:spacing w:after="0" w:line="259" w:lineRule="auto"/>
      <w:ind w:left="98" w:right="143" w:firstLine="0"/>
    </w:pPr>
    <w:r>
      <w:rPr>
        <w:color w:val="548DD4"/>
        <w:sz w:val="18"/>
      </w:rPr>
      <w:t>Su</w:t>
    </w:r>
    <w:r>
      <w:rPr>
        <w:color w:val="548DD4"/>
        <w:sz w:val="18"/>
      </w:rPr>
      <w:t>bmission 14 July 2025</w:t>
    </w:r>
  </w:p>
  <w:p w14:paraId="05ED6003" w14:textId="77777777" w:rsidR="00AC34D5" w:rsidRDefault="00470BE4">
    <w:pPr>
      <w:spacing w:after="0" w:line="259" w:lineRule="auto"/>
      <w:ind w:left="98" w:right="143" w:firstLine="0"/>
    </w:pPr>
    <w:r>
      <w:rPr>
        <w:color w:val="548DD4"/>
        <w:sz w:val="18"/>
      </w:rPr>
      <w:t>Acceptance 22 Aug 2025</w:t>
    </w:r>
  </w:p>
  <w:p w14:paraId="7E88FAB9" w14:textId="77777777" w:rsidR="00AC34D5" w:rsidRDefault="00470BE4">
    <w:pPr>
      <w:spacing w:after="0" w:line="259" w:lineRule="auto"/>
      <w:ind w:left="98" w:firstLine="0"/>
    </w:pPr>
    <w:r>
      <w:rPr>
        <w:color w:val="548DD4"/>
        <w:sz w:val="18"/>
      </w:rPr>
      <w:t>Publication 9 October 2025</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07BC74" w14:textId="23B6FE27" w:rsidR="00AC34D5" w:rsidRDefault="00AC34D5">
    <w:pPr>
      <w:spacing w:after="0" w:line="259" w:lineRule="auto"/>
      <w:ind w:left="98" w:firstLine="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F9F5D" w14:textId="77777777" w:rsidR="00AC34D5" w:rsidRDefault="00470BE4">
    <w:pPr>
      <w:spacing w:after="0" w:line="259" w:lineRule="auto"/>
      <w:ind w:left="98" w:right="143" w:firstLine="0"/>
    </w:pPr>
    <w:r>
      <w:rPr>
        <w:noProof/>
      </w:rPr>
      <w:drawing>
        <wp:anchor distT="0" distB="0" distL="114300" distR="114300" simplePos="0" relativeHeight="251663360" behindDoc="0" locked="0" layoutInCell="1" allowOverlap="0" wp14:anchorId="616EC9CE" wp14:editId="7240CC0F">
          <wp:simplePos x="0" y="0"/>
          <wp:positionH relativeFrom="page">
            <wp:posOffset>5710428</wp:posOffset>
          </wp:positionH>
          <wp:positionV relativeFrom="page">
            <wp:posOffset>8945880</wp:posOffset>
          </wp:positionV>
          <wp:extent cx="615696" cy="365760"/>
          <wp:effectExtent l="0" t="0" r="0" b="0"/>
          <wp:wrapSquare wrapText="bothSides"/>
          <wp:docPr id="1403576517" name="Picture 1403576517"/>
          <wp:cNvGraphicFramePr/>
          <a:graphic xmlns:a="http://schemas.openxmlformats.org/drawingml/2006/main">
            <a:graphicData uri="http://schemas.openxmlformats.org/drawingml/2006/picture">
              <pic:pic xmlns:pic="http://schemas.openxmlformats.org/drawingml/2006/picture">
                <pic:nvPicPr>
                  <pic:cNvPr id="22614" name="Picture 22614"/>
                  <pic:cNvPicPr/>
                </pic:nvPicPr>
                <pic:blipFill>
                  <a:blip r:embed="rId1"/>
                  <a:stretch>
                    <a:fillRect/>
                  </a:stretch>
                </pic:blipFill>
                <pic:spPr>
                  <a:xfrm>
                    <a:off x="0" y="0"/>
                    <a:ext cx="615696" cy="365760"/>
                  </a:xfrm>
                  <a:prstGeom prst="rect">
                    <a:avLst/>
                  </a:prstGeom>
                </pic:spPr>
              </pic:pic>
            </a:graphicData>
          </a:graphic>
        </wp:anchor>
      </w:drawing>
    </w:r>
    <w:r>
      <w:rPr>
        <w:color w:val="548DD4"/>
        <w:sz w:val="18"/>
      </w:rPr>
      <w:t>Health Affairs ISSN - 0278-2715 Volume 13 ISSUE 10 page 4765-4773</w:t>
    </w:r>
  </w:p>
  <w:p w14:paraId="70917937" w14:textId="77777777" w:rsidR="00AC34D5" w:rsidRDefault="00470BE4">
    <w:pPr>
      <w:spacing w:after="0" w:line="259" w:lineRule="auto"/>
      <w:ind w:left="98" w:right="143" w:firstLine="0"/>
    </w:pPr>
    <w:r>
      <w:rPr>
        <w:color w:val="548DD4"/>
        <w:sz w:val="18"/>
      </w:rPr>
      <w:t>Journal link: https://health-affairs.com/</w:t>
    </w:r>
  </w:p>
  <w:p w14:paraId="17E4294C" w14:textId="77777777" w:rsidR="00AC34D5" w:rsidRDefault="00470BE4">
    <w:pPr>
      <w:spacing w:after="0" w:line="259" w:lineRule="auto"/>
      <w:ind w:left="98" w:right="143" w:firstLine="0"/>
    </w:pPr>
    <w:r>
      <w:rPr>
        <w:color w:val="548DD4"/>
        <w:sz w:val="18"/>
      </w:rPr>
      <w:t>Abstract Link: https://health-affairs.com/13-10-47565-4773/</w:t>
    </w:r>
  </w:p>
  <w:p w14:paraId="2710F4E5" w14:textId="77777777" w:rsidR="00AC34D5" w:rsidRDefault="00470BE4">
    <w:pPr>
      <w:spacing w:after="0" w:line="259" w:lineRule="auto"/>
      <w:ind w:left="98" w:right="143" w:firstLine="0"/>
    </w:pPr>
    <w:r>
      <w:rPr>
        <w:color w:val="548DD4"/>
        <w:sz w:val="18"/>
      </w:rPr>
      <w:t>Submission 14 July 2025</w:t>
    </w:r>
  </w:p>
  <w:p w14:paraId="508FB614" w14:textId="77777777" w:rsidR="00AC34D5" w:rsidRDefault="00470BE4">
    <w:pPr>
      <w:spacing w:after="0" w:line="259" w:lineRule="auto"/>
      <w:ind w:left="98" w:right="143" w:firstLine="0"/>
    </w:pPr>
    <w:r>
      <w:rPr>
        <w:color w:val="548DD4"/>
        <w:sz w:val="18"/>
      </w:rPr>
      <w:t>Acceptance 22 Aug 2025</w:t>
    </w:r>
  </w:p>
  <w:p w14:paraId="344902A5" w14:textId="77777777" w:rsidR="00AC34D5" w:rsidRDefault="00470BE4">
    <w:pPr>
      <w:spacing w:after="0" w:line="259" w:lineRule="auto"/>
      <w:ind w:left="98" w:firstLine="0"/>
    </w:pPr>
    <w:r>
      <w:rPr>
        <w:color w:val="548DD4"/>
        <w:sz w:val="18"/>
      </w:rPr>
      <w:t>Publication 9 October 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2E4078" w14:textId="77777777" w:rsidR="00470BE4" w:rsidRDefault="00470BE4">
      <w:pPr>
        <w:spacing w:after="0" w:line="240" w:lineRule="auto"/>
      </w:pPr>
      <w:r>
        <w:separator/>
      </w:r>
    </w:p>
  </w:footnote>
  <w:footnote w:type="continuationSeparator" w:id="0">
    <w:p w14:paraId="62EBCD8D" w14:textId="77777777" w:rsidR="00470BE4" w:rsidRDefault="00470B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79A463" w14:textId="77777777" w:rsidR="00AC34D5" w:rsidRDefault="00470BE4">
    <w:pPr>
      <w:spacing w:after="0" w:line="259" w:lineRule="auto"/>
      <w:ind w:left="98" w:right="143" w:firstLine="0"/>
    </w:pPr>
    <w:r>
      <w:rPr>
        <w:noProof/>
      </w:rPr>
      <w:drawing>
        <wp:anchor distT="0" distB="0" distL="114300" distR="114300" simplePos="0" relativeHeight="251658240" behindDoc="0" locked="0" layoutInCell="1" allowOverlap="0" wp14:anchorId="47D0666E" wp14:editId="20F65784">
          <wp:simplePos x="0" y="0"/>
          <wp:positionH relativeFrom="page">
            <wp:posOffset>5710428</wp:posOffset>
          </wp:positionH>
          <wp:positionV relativeFrom="page">
            <wp:posOffset>345948</wp:posOffset>
          </wp:positionV>
          <wp:extent cx="618744" cy="362712"/>
          <wp:effectExtent l="0" t="0" r="0" b="0"/>
          <wp:wrapSquare wrapText="bothSides"/>
          <wp:docPr id="22558" name="Picture 22558"/>
          <wp:cNvGraphicFramePr/>
          <a:graphic xmlns:a="http://schemas.openxmlformats.org/drawingml/2006/main">
            <a:graphicData uri="http://schemas.openxmlformats.org/drawingml/2006/picture">
              <pic:pic xmlns:pic="http://schemas.openxmlformats.org/drawingml/2006/picture">
                <pic:nvPicPr>
                  <pic:cNvPr id="22558" name="Picture 22558"/>
                  <pic:cNvPicPr/>
                </pic:nvPicPr>
                <pic:blipFill>
                  <a:blip r:embed="rId1"/>
                  <a:stretch>
                    <a:fillRect/>
                  </a:stretch>
                </pic:blipFill>
                <pic:spPr>
                  <a:xfrm>
                    <a:off x="0" y="0"/>
                    <a:ext cx="618744" cy="362712"/>
                  </a:xfrm>
                  <a:prstGeom prst="rect">
                    <a:avLst/>
                  </a:prstGeom>
                </pic:spPr>
              </pic:pic>
            </a:graphicData>
          </a:graphic>
        </wp:anchor>
      </w:drawing>
    </w:r>
    <w:r>
      <w:rPr>
        <w:color w:val="548DD4"/>
        <w:sz w:val="18"/>
      </w:rPr>
      <w:t>Health Affa</w:t>
    </w:r>
    <w:r>
      <w:rPr>
        <w:color w:val="548DD4"/>
        <w:sz w:val="18"/>
      </w:rPr>
      <w:t>irs ISSN - 0278-2715 Volume 13 ISSUE 10 page 4765-4773</w:t>
    </w:r>
  </w:p>
  <w:p w14:paraId="0EA430ED" w14:textId="77777777" w:rsidR="00AC34D5" w:rsidRDefault="00470BE4">
    <w:pPr>
      <w:spacing w:after="0" w:line="259" w:lineRule="auto"/>
      <w:ind w:left="98" w:right="143" w:firstLine="0"/>
    </w:pPr>
    <w:r>
      <w:rPr>
        <w:color w:val="548DD4"/>
        <w:sz w:val="18"/>
      </w:rPr>
      <w:t>Journal link: https://health-affairs.com/</w:t>
    </w:r>
  </w:p>
  <w:p w14:paraId="4BF5A819" w14:textId="77777777" w:rsidR="00AC34D5" w:rsidRDefault="00470BE4">
    <w:pPr>
      <w:spacing w:after="0" w:line="259" w:lineRule="auto"/>
      <w:ind w:left="98" w:right="143" w:firstLine="0"/>
    </w:pPr>
    <w:r>
      <w:rPr>
        <w:color w:val="548DD4"/>
        <w:sz w:val="18"/>
      </w:rPr>
      <w:t>Abstract Link: https://health-affairs.com/13-10-47565-4773/</w:t>
    </w:r>
  </w:p>
  <w:p w14:paraId="2A3EA32C" w14:textId="77777777" w:rsidR="00AC34D5" w:rsidRDefault="00470BE4">
    <w:pPr>
      <w:spacing w:after="0" w:line="259" w:lineRule="auto"/>
      <w:ind w:left="98" w:right="143" w:firstLine="0"/>
    </w:pPr>
    <w:r>
      <w:rPr>
        <w:color w:val="548DD4"/>
        <w:sz w:val="18"/>
      </w:rPr>
      <w:t>Submission 14 July 2025</w:t>
    </w:r>
  </w:p>
  <w:p w14:paraId="40068B87" w14:textId="77777777" w:rsidR="00AC34D5" w:rsidRDefault="00470BE4">
    <w:pPr>
      <w:spacing w:after="0" w:line="259" w:lineRule="auto"/>
      <w:ind w:left="98" w:right="143" w:firstLine="0"/>
    </w:pPr>
    <w:r>
      <w:rPr>
        <w:color w:val="548DD4"/>
        <w:sz w:val="18"/>
      </w:rPr>
      <w:t>Acceptance 22 Aug 2025</w:t>
    </w:r>
  </w:p>
  <w:p w14:paraId="56238AE4" w14:textId="77777777" w:rsidR="00AC34D5" w:rsidRDefault="00470BE4">
    <w:pPr>
      <w:spacing w:after="0" w:line="259" w:lineRule="auto"/>
      <w:ind w:left="98" w:firstLine="0"/>
    </w:pPr>
    <w:r>
      <w:rPr>
        <w:color w:val="548DD4"/>
        <w:sz w:val="18"/>
      </w:rPr>
      <w:t>Publication 9 October 2025</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5F2FA9" w14:textId="77777777" w:rsidR="00BB4E85" w:rsidRPr="000D5F61" w:rsidRDefault="00BB4E85" w:rsidP="00BB4E85">
    <w:pPr>
      <w:pStyle w:val="Header"/>
      <w:rPr>
        <w:rFonts w:ascii="Times New Roman" w:hAnsi="Times New Roman" w:cs="Times New Roman"/>
        <w:color w:val="000000" w:themeColor="text1"/>
        <w:sz w:val="22"/>
      </w:rPr>
    </w:pPr>
  </w:p>
  <w:tbl>
    <w:tblPr>
      <w:tblStyle w:val="TableGrid0"/>
      <w:tblpPr w:leftFromText="180" w:rightFromText="180" w:vertAnchor="page" w:horzAnchor="page" w:tblpX="1559" w:tblpY="14434"/>
      <w:tblOverlap w:val="never"/>
      <w:tblW w:w="94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11"/>
      <w:gridCol w:w="2494"/>
    </w:tblGrid>
    <w:tr w:rsidR="00BB4E85" w:rsidRPr="000D5F61" w14:paraId="1F470DE1" w14:textId="77777777" w:rsidTr="00F66BB3">
      <w:tc>
        <w:tcPr>
          <w:tcW w:w="6915" w:type="dxa"/>
          <w:hideMark/>
        </w:tcPr>
        <w:p w14:paraId="51B42901" w14:textId="77777777" w:rsidR="00BB4E85" w:rsidRPr="000D5F61" w:rsidRDefault="00BB4E85" w:rsidP="00BB4E85">
          <w:pPr>
            <w:pStyle w:val="Header"/>
            <w:widowControl w:val="0"/>
            <w:rPr>
              <w:rFonts w:ascii="Times New Roman" w:eastAsiaTheme="minorHAnsi" w:hAnsi="Times New Roman" w:cs="Times New Roman"/>
              <w:color w:val="000000" w:themeColor="text1"/>
              <w:kern w:val="2"/>
            </w:rPr>
          </w:pPr>
          <w:r w:rsidRPr="000D5F61">
            <w:rPr>
              <w:rFonts w:ascii="Times New Roman" w:eastAsia="Helvetica" w:hAnsi="Times New Roman" w:cs="Times New Roman"/>
              <w:b/>
              <w:bCs/>
              <w:color w:val="000000" w:themeColor="text1"/>
              <w:shd w:val="clear" w:color="auto" w:fill="FFFFFF"/>
            </w:rPr>
            <w:br/>
          </w:r>
          <w:hyperlink r:id="rId1" w:history="1">
            <w:r w:rsidRPr="000D5F61">
              <w:rPr>
                <w:rStyle w:val="Hyperlink"/>
                <w:rFonts w:ascii="Times New Roman" w:hAnsi="Times New Roman" w:cs="Times New Roman"/>
                <w:color w:val="000000" w:themeColor="text1"/>
              </w:rPr>
              <w:t>medicina-moderna</w:t>
            </w:r>
          </w:hyperlink>
          <w:r w:rsidRPr="000D5F61">
            <w:rPr>
              <w:rFonts w:ascii="Times New Roman" w:hAnsi="Times New Roman" w:cs="Times New Roman"/>
              <w:color w:val="000000" w:themeColor="text1"/>
            </w:rPr>
            <w:t xml:space="preserve"> </w:t>
          </w:r>
          <w:hyperlink r:id="rId2" w:history="1">
            <w:hyperlink r:id="rId3" w:history="1">
              <w:r w:rsidRPr="000D5F61">
                <w:rPr>
                  <w:rStyle w:val="Hyperlink"/>
                  <w:rFonts w:ascii="Times New Roman" w:hAnsi="Times New Roman" w:cs="Times New Roman"/>
                  <w:color w:val="000000" w:themeColor="text1"/>
                </w:rPr>
                <w:t>ISSN 2360-2473</w:t>
              </w:r>
            </w:hyperlink>
            <w:r w:rsidRPr="000D5F61">
              <w:rPr>
                <w:rStyle w:val="Hyperlink"/>
                <w:rFonts w:ascii="Times New Roman" w:hAnsi="Times New Roman" w:cs="Times New Roman"/>
                <w:color w:val="000000" w:themeColor="text1"/>
              </w:rPr>
              <w:t xml:space="preserve"> </w:t>
            </w:r>
          </w:hyperlink>
          <w:r w:rsidRPr="000D5F61">
            <w:rPr>
              <w:rFonts w:ascii="Times New Roman" w:hAnsi="Times New Roman" w:cs="Times New Roman"/>
              <w:color w:val="000000" w:themeColor="text1"/>
              <w:lang w:eastAsia="zh-CN"/>
            </w:rPr>
            <w:t>Volume 13  ISSUE 2  page  122-128</w:t>
          </w:r>
          <w:r w:rsidRPr="000D5F61">
            <w:rPr>
              <w:rFonts w:ascii="Times New Roman" w:hAnsi="Times New Roman" w:cs="Times New Roman"/>
              <w:color w:val="000000" w:themeColor="text1"/>
              <w:lang w:eastAsia="zh-CN"/>
            </w:rPr>
            <w:br/>
            <w:t xml:space="preserve">Journal link: https://medicina-moderna.com/ </w:t>
          </w:r>
          <w:r w:rsidRPr="000D5F61">
            <w:rPr>
              <w:rFonts w:ascii="Times New Roman" w:hAnsi="Times New Roman" w:cs="Times New Roman"/>
              <w:color w:val="000000" w:themeColor="text1"/>
              <w:lang w:eastAsia="zh-CN"/>
            </w:rPr>
            <w:br/>
            <w:t xml:space="preserve">April 2025 </w:t>
          </w:r>
          <w:r w:rsidRPr="000D5F61">
            <w:rPr>
              <w:rFonts w:ascii="Times New Roman" w:hAnsi="Times New Roman" w:cs="Times New Roman"/>
              <w:b/>
              <w:bCs/>
              <w:color w:val="000000" w:themeColor="text1"/>
              <w:lang w:eastAsia="zh-CN" w:bidi="ar"/>
            </w:rPr>
            <w:t xml:space="preserve">  </w:t>
          </w:r>
          <w:r w:rsidRPr="000D5F61">
            <w:rPr>
              <w:rFonts w:ascii="Times New Roman" w:hAnsi="Times New Roman" w:cs="Times New Roman"/>
              <w:color w:val="000000" w:themeColor="text1"/>
              <w:lang w:eastAsia="zh-CN" w:bidi="ar"/>
            </w:rPr>
            <w:t xml:space="preserve"> </w:t>
          </w:r>
          <w:r w:rsidRPr="000D5F61">
            <w:rPr>
              <w:rFonts w:ascii="Times New Roman" w:hAnsi="Times New Roman" w:cs="Times New Roman"/>
              <w:color w:val="000000" w:themeColor="text1"/>
              <w:lang w:eastAsia="zh-CN" w:bidi="ar"/>
            </w:rPr>
            <w:br/>
            <w:t xml:space="preserve">              </w:t>
          </w:r>
        </w:p>
      </w:tc>
      <w:tc>
        <w:tcPr>
          <w:tcW w:w="2495" w:type="dxa"/>
          <w:hideMark/>
        </w:tcPr>
        <w:p w14:paraId="0795F790" w14:textId="77777777" w:rsidR="00BB4E85" w:rsidRPr="000D5F61" w:rsidRDefault="00BB4E85" w:rsidP="00BB4E85">
          <w:pPr>
            <w:pStyle w:val="Header"/>
            <w:widowControl w:val="0"/>
            <w:rPr>
              <w:rFonts w:ascii="Times New Roman" w:hAnsi="Times New Roman" w:cs="Times New Roman"/>
              <w:color w:val="000000" w:themeColor="text1"/>
              <w:kern w:val="2"/>
            </w:rPr>
          </w:pPr>
          <w:r w:rsidRPr="000D5F61">
            <w:rPr>
              <w:rFonts w:ascii="Times New Roman" w:hAnsi="Times New Roman" w:cs="Times New Roman"/>
              <w:color w:val="000000" w:themeColor="text1"/>
              <w:kern w:val="2"/>
            </w:rPr>
            <w:t xml:space="preserve">   </w:t>
          </w:r>
          <w:r w:rsidRPr="000D5F61">
            <w:rPr>
              <w:rFonts w:ascii="Times New Roman" w:hAnsi="Times New Roman" w:cs="Times New Roman"/>
              <w:noProof/>
              <w:color w:val="000000" w:themeColor="text1"/>
            </w:rPr>
            <w:drawing>
              <wp:inline distT="0" distB="0" distL="0" distR="0" wp14:anchorId="7CC2E8CA" wp14:editId="5C6983D8">
                <wp:extent cx="1238250" cy="657225"/>
                <wp:effectExtent l="0" t="0" r="0" b="0"/>
                <wp:docPr id="1" name="Picture 1" descr="MEDICINA-MODERN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DICINA-MODERNA-LOGO"/>
                        <pic:cNvPicPr>
                          <a:picLocks noChangeAspect="1" noChangeArrowheads="1"/>
                        </pic:cNvPicPr>
                      </pic:nvPicPr>
                      <pic:blipFill>
                        <a:blip r:embed="rId4">
                          <a:extLst>
                            <a:ext uri="{28A0092B-C50C-407E-A947-70E740481C1C}">
                              <a14:useLocalDpi xmlns:a14="http://schemas.microsoft.com/office/drawing/2010/main" val="0"/>
                            </a:ext>
                          </a:extLst>
                        </a:blip>
                        <a:srcRect t="16548" b="16548"/>
                        <a:stretch>
                          <a:fillRect/>
                        </a:stretch>
                      </pic:blipFill>
                      <pic:spPr bwMode="auto">
                        <a:xfrm>
                          <a:off x="0" y="0"/>
                          <a:ext cx="1238250" cy="657225"/>
                        </a:xfrm>
                        <a:prstGeom prst="rect">
                          <a:avLst/>
                        </a:prstGeom>
                        <a:noFill/>
                        <a:ln>
                          <a:noFill/>
                        </a:ln>
                      </pic:spPr>
                    </pic:pic>
                  </a:graphicData>
                </a:graphic>
              </wp:inline>
            </w:drawing>
          </w:r>
          <w:r w:rsidRPr="000D5F61">
            <w:rPr>
              <w:rFonts w:ascii="Times New Roman" w:hAnsi="Times New Roman" w:cs="Times New Roman"/>
              <w:color w:val="000000" w:themeColor="text1"/>
              <w:kern w:val="2"/>
            </w:rPr>
            <w:t xml:space="preserve">                                                                                              </w:t>
          </w:r>
        </w:p>
      </w:tc>
    </w:tr>
  </w:tbl>
  <w:p w14:paraId="03EC3DEB" w14:textId="77777777" w:rsidR="00BB4E85" w:rsidRPr="000D5F61" w:rsidRDefault="00BB4E85" w:rsidP="00BB4E85">
    <w:pPr>
      <w:pStyle w:val="Footer"/>
      <w:rPr>
        <w:rFonts w:ascii="Times New Roman" w:hAnsi="Times New Roman" w:cs="Times New Roman"/>
        <w:color w:val="000000" w:themeColor="text1"/>
        <w:sz w:val="22"/>
      </w:rPr>
    </w:pPr>
    <w:r w:rsidRPr="000D5F61">
      <w:rPr>
        <w:rFonts w:ascii="Times New Roman" w:hAnsi="Times New Roman" w:cs="Times New Roman"/>
        <w:noProof/>
        <w:color w:val="000000" w:themeColor="text1"/>
        <w:sz w:val="22"/>
      </w:rPr>
      <w:drawing>
        <wp:anchor distT="0" distB="0" distL="114300" distR="114300" simplePos="0" relativeHeight="251665408" behindDoc="1" locked="0" layoutInCell="1" allowOverlap="1" wp14:anchorId="56F3D60D" wp14:editId="63678FBB">
          <wp:simplePos x="0" y="0"/>
          <wp:positionH relativeFrom="column">
            <wp:posOffset>4988560</wp:posOffset>
          </wp:positionH>
          <wp:positionV relativeFrom="paragraph">
            <wp:posOffset>17145</wp:posOffset>
          </wp:positionV>
          <wp:extent cx="1695450" cy="1105728"/>
          <wp:effectExtent l="0" t="0" r="0" b="0"/>
          <wp:wrapNone/>
          <wp:docPr id="8" name="Picture 8" descr="MEDICINA-MODERN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CINA-MODERNA-LOGO"/>
                  <pic:cNvPicPr>
                    <a:picLocks noChangeAspect="1" noChangeArrowheads="1"/>
                  </pic:cNvPicPr>
                </pic:nvPicPr>
                <pic:blipFill>
                  <a:blip r:embed="rId4">
                    <a:extLst>
                      <a:ext uri="{28A0092B-C50C-407E-A947-70E740481C1C}">
                        <a14:useLocalDpi xmlns:a14="http://schemas.microsoft.com/office/drawing/2010/main" val="0"/>
                      </a:ext>
                    </a:extLst>
                  </a:blip>
                  <a:srcRect t="16548" b="16548"/>
                  <a:stretch>
                    <a:fillRect/>
                  </a:stretch>
                </pic:blipFill>
                <pic:spPr bwMode="auto">
                  <a:xfrm>
                    <a:off x="0" y="0"/>
                    <a:ext cx="1702347" cy="1110226"/>
                  </a:xfrm>
                  <a:prstGeom prst="rect">
                    <a:avLst/>
                  </a:prstGeom>
                  <a:noFill/>
                </pic:spPr>
              </pic:pic>
            </a:graphicData>
          </a:graphic>
          <wp14:sizeRelH relativeFrom="margin">
            <wp14:pctWidth>0</wp14:pctWidth>
          </wp14:sizeRelH>
          <wp14:sizeRelV relativeFrom="margin">
            <wp14:pctHeight>0</wp14:pctHeight>
          </wp14:sizeRelV>
        </wp:anchor>
      </w:drawing>
    </w:r>
  </w:p>
  <w:p w14:paraId="1910174C" w14:textId="77777777" w:rsidR="00BB4E85" w:rsidRPr="00EF16A6" w:rsidRDefault="00BB4E85" w:rsidP="00BB4E85">
    <w:pPr>
      <w:pStyle w:val="Footer"/>
      <w:jc w:val="center"/>
      <w:rPr>
        <w:rFonts w:ascii="Times New Roman" w:hAnsi="Times New Roman" w:cs="Times New Roman"/>
        <w:color w:val="0070C0"/>
        <w:sz w:val="30"/>
      </w:rPr>
    </w:pPr>
    <w:r w:rsidRPr="00EF16A6">
      <w:rPr>
        <w:rFonts w:ascii="Times New Roman" w:hAnsi="Times New Roman" w:cs="Times New Roman"/>
        <w:noProof/>
        <w:color w:val="0070C0"/>
        <w:sz w:val="30"/>
      </w:rPr>
      <w:drawing>
        <wp:anchor distT="0" distB="0" distL="114300" distR="114300" simplePos="0" relativeHeight="251666432" behindDoc="1" locked="0" layoutInCell="1" allowOverlap="1" wp14:anchorId="1701DF10" wp14:editId="3DD73264">
          <wp:simplePos x="0" y="0"/>
          <wp:positionH relativeFrom="margin">
            <wp:posOffset>-304800</wp:posOffset>
          </wp:positionH>
          <wp:positionV relativeFrom="paragraph">
            <wp:posOffset>286385</wp:posOffset>
          </wp:positionV>
          <wp:extent cx="917575" cy="304800"/>
          <wp:effectExtent l="0" t="0" r="0" b="0"/>
          <wp:wrapNone/>
          <wp:docPr id="3" name="Picture 3" descr="Scopus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opusq"/>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17575" cy="304800"/>
                  </a:xfrm>
                  <a:prstGeom prst="rect">
                    <a:avLst/>
                  </a:prstGeom>
                  <a:noFill/>
                </pic:spPr>
              </pic:pic>
            </a:graphicData>
          </a:graphic>
          <wp14:sizeRelH relativeFrom="margin">
            <wp14:pctWidth>0</wp14:pctWidth>
          </wp14:sizeRelH>
          <wp14:sizeRelV relativeFrom="margin">
            <wp14:pctHeight>0</wp14:pctHeight>
          </wp14:sizeRelV>
        </wp:anchor>
      </w:drawing>
    </w:r>
    <w:r w:rsidRPr="00EF16A6">
      <w:rPr>
        <w:rFonts w:ascii="Times New Roman" w:hAnsi="Times New Roman" w:cs="Times New Roman"/>
        <w:color w:val="0070C0"/>
        <w:sz w:val="30"/>
      </w:rPr>
      <w:t>Medicina Moderna</w:t>
    </w:r>
  </w:p>
  <w:p w14:paraId="195A778F" w14:textId="1F3F3737" w:rsidR="00BB4E85" w:rsidRPr="00970EDE" w:rsidRDefault="00BB4E85" w:rsidP="00BB4E85">
    <w:pPr>
      <w:pStyle w:val="Footer"/>
      <w:jc w:val="center"/>
      <w:rPr>
        <w:rFonts w:ascii="Times New Roman" w:hAnsi="Times New Roman" w:cs="Times New Roman"/>
        <w:color w:val="000000" w:themeColor="text1"/>
        <w:szCs w:val="20"/>
      </w:rPr>
    </w:pPr>
    <w:r w:rsidRPr="000D5F61">
      <w:rPr>
        <w:rFonts w:ascii="Times New Roman" w:hAnsi="Times New Roman" w:cs="Times New Roman"/>
        <w:color w:val="000000" w:themeColor="text1"/>
        <w:sz w:val="22"/>
      </w:rPr>
      <w:t xml:space="preserve"> </w:t>
    </w:r>
    <w:r w:rsidRPr="00970EDE">
      <w:rPr>
        <w:rFonts w:ascii="Times New Roman" w:hAnsi="Times New Roman" w:cs="Times New Roman"/>
        <w:color w:val="000000" w:themeColor="text1"/>
        <w:szCs w:val="20"/>
      </w:rPr>
      <w:t>ISSN 2360-2473 Volume 13, Issue 2, 102</w:t>
    </w:r>
    <w:r>
      <w:rPr>
        <w:rFonts w:ascii="Times New Roman" w:hAnsi="Times New Roman" w:cs="Times New Roman"/>
        <w:color w:val="000000" w:themeColor="text1"/>
        <w:szCs w:val="20"/>
      </w:rPr>
      <w:t>1-1028</w:t>
    </w:r>
  </w:p>
  <w:p w14:paraId="3EA95E39" w14:textId="77777777" w:rsidR="00BB4E85" w:rsidRPr="00970EDE" w:rsidRDefault="00BB4E85" w:rsidP="00BB4E85">
    <w:pPr>
      <w:pStyle w:val="Footer"/>
      <w:jc w:val="center"/>
      <w:rPr>
        <w:rFonts w:ascii="Times New Roman" w:hAnsi="Times New Roman" w:cs="Times New Roman"/>
        <w:color w:val="000000" w:themeColor="text1"/>
        <w:szCs w:val="20"/>
      </w:rPr>
    </w:pPr>
    <w:r w:rsidRPr="00970EDE">
      <w:rPr>
        <w:rFonts w:ascii="Times New Roman" w:hAnsi="Times New Roman" w:cs="Times New Roman"/>
        <w:color w:val="000000" w:themeColor="text1"/>
        <w:szCs w:val="20"/>
      </w:rPr>
      <w:t xml:space="preserve">Journal link: </w:t>
    </w:r>
    <w:hyperlink r:id="rId6" w:history="1">
      <w:r w:rsidRPr="00970EDE">
        <w:rPr>
          <w:rStyle w:val="Hyperlink"/>
          <w:rFonts w:ascii="Times New Roman" w:hAnsi="Times New Roman" w:cs="Times New Roman"/>
          <w:color w:val="000000" w:themeColor="text1"/>
          <w:szCs w:val="20"/>
        </w:rPr>
        <w:t>https://medicina-moderna.com/</w:t>
      </w:r>
    </w:hyperlink>
  </w:p>
  <w:p w14:paraId="0290902B" w14:textId="77777777" w:rsidR="00BB4E85" w:rsidRPr="000D5F61" w:rsidRDefault="00BB4E85" w:rsidP="00BB4E85">
    <w:pPr>
      <w:pStyle w:val="Header"/>
      <w:rPr>
        <w:rFonts w:ascii="Times New Roman" w:hAnsi="Times New Roman" w:cs="Times New Roman"/>
        <w:color w:val="000000" w:themeColor="text1"/>
        <w:sz w:val="22"/>
      </w:rPr>
    </w:pPr>
  </w:p>
  <w:p w14:paraId="7EF784D4" w14:textId="77777777" w:rsidR="00BB4E85" w:rsidRPr="000D5F61" w:rsidRDefault="00BB4E85" w:rsidP="00BB4E85">
    <w:pPr>
      <w:pStyle w:val="Header"/>
      <w:tabs>
        <w:tab w:val="clear" w:pos="4680"/>
        <w:tab w:val="clear" w:pos="9360"/>
        <w:tab w:val="left" w:pos="3660"/>
      </w:tabs>
      <w:rPr>
        <w:rFonts w:ascii="Times New Roman" w:hAnsi="Times New Roman" w:cs="Times New Roman"/>
        <w:color w:val="000000" w:themeColor="text1"/>
        <w:sz w:val="22"/>
      </w:rPr>
    </w:pPr>
    <w:r w:rsidRPr="000D5F61">
      <w:rPr>
        <w:rFonts w:ascii="Times New Roman" w:hAnsi="Times New Roman" w:cs="Times New Roman"/>
        <w:color w:val="000000" w:themeColor="text1"/>
        <w:sz w:val="22"/>
      </w:rPr>
      <w:tab/>
    </w:r>
    <w:r w:rsidRPr="000D5F61">
      <w:rPr>
        <w:rFonts w:ascii="Times New Roman" w:hAnsi="Times New Roman" w:cs="Times New Roman"/>
        <w:color w:val="000000" w:themeColor="text1"/>
        <w:sz w:val="22"/>
      </w:rPr>
      <w:tab/>
    </w:r>
  </w:p>
  <w:p w14:paraId="78AFB698" w14:textId="77777777" w:rsidR="00BB4E85" w:rsidRPr="000D5F61" w:rsidRDefault="00BB4E85" w:rsidP="00BB4E85">
    <w:pPr>
      <w:pStyle w:val="Header"/>
      <w:rPr>
        <w:rFonts w:ascii="Times New Roman" w:hAnsi="Times New Roman" w:cs="Times New Roman"/>
        <w:color w:val="000000" w:themeColor="text1"/>
        <w:sz w:val="22"/>
      </w:rPr>
    </w:pPr>
  </w:p>
  <w:p w14:paraId="07FCE6A0" w14:textId="77777777" w:rsidR="00BB4E85" w:rsidRPr="000D5F61" w:rsidRDefault="00BB4E85" w:rsidP="00BB4E85">
    <w:pPr>
      <w:pStyle w:val="Header"/>
      <w:rPr>
        <w:rFonts w:ascii="Times New Roman" w:hAnsi="Times New Roman" w:cs="Times New Roman"/>
        <w:color w:val="000000" w:themeColor="text1"/>
        <w:sz w:val="22"/>
      </w:rPr>
    </w:pPr>
    <w:r w:rsidRPr="000D5F61">
      <w:rPr>
        <w:rFonts w:ascii="Times New Roman" w:hAnsi="Times New Roman" w:cs="Times New Roman"/>
        <w:color w:val="000000" w:themeColor="text1"/>
        <w:sz w:val="22"/>
      </w:rPr>
      <w:t xml:space="preserve"> </w:t>
    </w:r>
  </w:p>
  <w:p w14:paraId="0C282FEA" w14:textId="77777777" w:rsidR="00BB4E85" w:rsidRPr="000D5F61" w:rsidRDefault="00BB4E85" w:rsidP="00BB4E85">
    <w:pPr>
      <w:pStyle w:val="Header"/>
      <w:rPr>
        <w:rFonts w:ascii="Times New Roman" w:hAnsi="Times New Roman" w:cs="Times New Roman"/>
        <w:color w:val="000000" w:themeColor="text1"/>
        <w:sz w:val="22"/>
      </w:rPr>
    </w:pPr>
  </w:p>
  <w:p w14:paraId="5924FE2C" w14:textId="0836C3D4" w:rsidR="00AC34D5" w:rsidRPr="0044246D" w:rsidRDefault="00AC34D5" w:rsidP="00BB4E85">
    <w:pPr>
      <w:pStyle w:val="Header"/>
      <w:ind w:left="0" w:firstLine="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3F6E5D" w14:textId="77777777" w:rsidR="00AC34D5" w:rsidRDefault="00470BE4">
    <w:pPr>
      <w:spacing w:after="0" w:line="259" w:lineRule="auto"/>
      <w:ind w:left="98" w:right="143" w:firstLine="0"/>
    </w:pPr>
    <w:r>
      <w:rPr>
        <w:noProof/>
      </w:rPr>
      <w:drawing>
        <wp:anchor distT="0" distB="0" distL="114300" distR="114300" simplePos="0" relativeHeight="251660288" behindDoc="0" locked="0" layoutInCell="1" allowOverlap="0" wp14:anchorId="3C67D8D5" wp14:editId="76F64981">
          <wp:simplePos x="0" y="0"/>
          <wp:positionH relativeFrom="page">
            <wp:posOffset>5710428</wp:posOffset>
          </wp:positionH>
          <wp:positionV relativeFrom="page">
            <wp:posOffset>345948</wp:posOffset>
          </wp:positionV>
          <wp:extent cx="618744" cy="362712"/>
          <wp:effectExtent l="0" t="0" r="0" b="0"/>
          <wp:wrapSquare wrapText="bothSides"/>
          <wp:docPr id="1608652872" name="Picture 1608652872"/>
          <wp:cNvGraphicFramePr/>
          <a:graphic xmlns:a="http://schemas.openxmlformats.org/drawingml/2006/main">
            <a:graphicData uri="http://schemas.openxmlformats.org/drawingml/2006/picture">
              <pic:pic xmlns:pic="http://schemas.openxmlformats.org/drawingml/2006/picture">
                <pic:nvPicPr>
                  <pic:cNvPr id="22558" name="Picture 22558"/>
                  <pic:cNvPicPr/>
                </pic:nvPicPr>
                <pic:blipFill>
                  <a:blip r:embed="rId1"/>
                  <a:stretch>
                    <a:fillRect/>
                  </a:stretch>
                </pic:blipFill>
                <pic:spPr>
                  <a:xfrm>
                    <a:off x="0" y="0"/>
                    <a:ext cx="618744" cy="362712"/>
                  </a:xfrm>
                  <a:prstGeom prst="rect">
                    <a:avLst/>
                  </a:prstGeom>
                </pic:spPr>
              </pic:pic>
            </a:graphicData>
          </a:graphic>
        </wp:anchor>
      </w:drawing>
    </w:r>
    <w:r>
      <w:rPr>
        <w:color w:val="548DD4"/>
        <w:sz w:val="18"/>
      </w:rPr>
      <w:t>Health Affairs ISSN - 0278-2715 Volume 13 ISSUE 10 page 4765-4773</w:t>
    </w:r>
  </w:p>
  <w:p w14:paraId="2F79B057" w14:textId="77777777" w:rsidR="00AC34D5" w:rsidRDefault="00470BE4">
    <w:pPr>
      <w:spacing w:after="0" w:line="259" w:lineRule="auto"/>
      <w:ind w:left="98" w:right="143" w:firstLine="0"/>
    </w:pPr>
    <w:r>
      <w:rPr>
        <w:color w:val="548DD4"/>
        <w:sz w:val="18"/>
      </w:rPr>
      <w:t>Journal link: https://health-affairs.com/</w:t>
    </w:r>
  </w:p>
  <w:p w14:paraId="6A6EC92D" w14:textId="77777777" w:rsidR="00AC34D5" w:rsidRDefault="00470BE4">
    <w:pPr>
      <w:spacing w:after="0" w:line="259" w:lineRule="auto"/>
      <w:ind w:left="98" w:right="143" w:firstLine="0"/>
    </w:pPr>
    <w:r>
      <w:rPr>
        <w:color w:val="548DD4"/>
        <w:sz w:val="18"/>
      </w:rPr>
      <w:t>Abstract Link: https://health-affairs.com/13-10-47565-4773/</w:t>
    </w:r>
  </w:p>
  <w:p w14:paraId="3728BFCE" w14:textId="77777777" w:rsidR="00AC34D5" w:rsidRDefault="00470BE4">
    <w:pPr>
      <w:spacing w:after="0" w:line="259" w:lineRule="auto"/>
      <w:ind w:left="98" w:right="143" w:firstLine="0"/>
    </w:pPr>
    <w:r>
      <w:rPr>
        <w:color w:val="548DD4"/>
        <w:sz w:val="18"/>
      </w:rPr>
      <w:t xml:space="preserve">Submission 14 </w:t>
    </w:r>
    <w:r>
      <w:rPr>
        <w:color w:val="548DD4"/>
        <w:sz w:val="18"/>
      </w:rPr>
      <w:t>July 2025</w:t>
    </w:r>
  </w:p>
  <w:p w14:paraId="3153105D" w14:textId="77777777" w:rsidR="00AC34D5" w:rsidRDefault="00470BE4">
    <w:pPr>
      <w:spacing w:after="0" w:line="259" w:lineRule="auto"/>
      <w:ind w:left="98" w:right="143" w:firstLine="0"/>
    </w:pPr>
    <w:r>
      <w:rPr>
        <w:color w:val="548DD4"/>
        <w:sz w:val="18"/>
      </w:rPr>
      <w:t>Acceptance 22 Aug 2025</w:t>
    </w:r>
  </w:p>
  <w:p w14:paraId="5AA7810C" w14:textId="77777777" w:rsidR="00AC34D5" w:rsidRDefault="00470BE4">
    <w:pPr>
      <w:spacing w:after="0" w:line="259" w:lineRule="auto"/>
      <w:ind w:left="98" w:firstLine="0"/>
    </w:pPr>
    <w:r>
      <w:rPr>
        <w:color w:val="548DD4"/>
        <w:sz w:val="18"/>
      </w:rPr>
      <w:t>Publication 9 October 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84C7F"/>
    <w:multiLevelType w:val="hybridMultilevel"/>
    <w:tmpl w:val="ADAC1876"/>
    <w:lvl w:ilvl="0" w:tplc="D158B602">
      <w:start w:val="1"/>
      <w:numFmt w:val="decimal"/>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F509C00">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3883610">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9388BC8">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A207EF6">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590E02C">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4E0AE6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80099BC">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1225DD0">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4D5"/>
    <w:rsid w:val="00146041"/>
    <w:rsid w:val="0044246D"/>
    <w:rsid w:val="00470BE4"/>
    <w:rsid w:val="005A2EE1"/>
    <w:rsid w:val="00600354"/>
    <w:rsid w:val="00625C4E"/>
    <w:rsid w:val="009F2E1F"/>
    <w:rsid w:val="00A03DB2"/>
    <w:rsid w:val="00A518DA"/>
    <w:rsid w:val="00AC34D5"/>
    <w:rsid w:val="00BB4E85"/>
    <w:rsid w:val="00C61D23"/>
    <w:rsid w:val="00D83DC7"/>
    <w:rsid w:val="00EA79E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49DDC"/>
  <w15:docId w15:val="{F7EB5A6E-BAB4-45E8-836A-45B92C303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53" w:lineRule="auto"/>
      <w:ind w:left="2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line="259" w:lineRule="auto"/>
      <w:ind w:left="1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424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246D"/>
    <w:rPr>
      <w:rFonts w:ascii="Calibri" w:eastAsia="Calibri" w:hAnsi="Calibri" w:cs="Calibri"/>
      <w:color w:val="000000"/>
    </w:rPr>
  </w:style>
  <w:style w:type="paragraph" w:styleId="Footer">
    <w:name w:val="footer"/>
    <w:basedOn w:val="Normal"/>
    <w:link w:val="FooterChar"/>
    <w:uiPriority w:val="99"/>
    <w:unhideWhenUsed/>
    <w:rsid w:val="00BB4E85"/>
    <w:pPr>
      <w:tabs>
        <w:tab w:val="center" w:pos="4680"/>
        <w:tab w:val="right" w:pos="9360"/>
      </w:tabs>
      <w:spacing w:after="0" w:line="240" w:lineRule="auto"/>
      <w:ind w:left="636" w:right="75"/>
      <w:jc w:val="both"/>
    </w:pPr>
    <w:rPr>
      <w:rFonts w:ascii="Arial" w:eastAsia="Arial" w:hAnsi="Arial" w:cs="Arial"/>
      <w:kern w:val="0"/>
      <w:sz w:val="20"/>
      <w:szCs w:val="22"/>
      <w14:ligatures w14:val="none"/>
    </w:rPr>
  </w:style>
  <w:style w:type="character" w:customStyle="1" w:styleId="FooterChar">
    <w:name w:val="Footer Char"/>
    <w:basedOn w:val="DefaultParagraphFont"/>
    <w:link w:val="Footer"/>
    <w:uiPriority w:val="99"/>
    <w:rsid w:val="00BB4E85"/>
    <w:rPr>
      <w:rFonts w:ascii="Arial" w:eastAsia="Arial" w:hAnsi="Arial" w:cs="Arial"/>
      <w:color w:val="000000"/>
      <w:kern w:val="0"/>
      <w:sz w:val="20"/>
      <w:szCs w:val="22"/>
      <w14:ligatures w14:val="none"/>
    </w:rPr>
  </w:style>
  <w:style w:type="table" w:styleId="TableGrid0">
    <w:name w:val="Table Grid"/>
    <w:basedOn w:val="TableNormal"/>
    <w:uiPriority w:val="39"/>
    <w:rsid w:val="00BB4E85"/>
    <w:pPr>
      <w:spacing w:after="0" w:line="240" w:lineRule="auto"/>
    </w:pPr>
    <w:rPr>
      <w:rFonts w:eastAsiaTheme="minorHAns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4E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hyperlink" Target="https://medicina-moderna.com/" TargetMode="External"/><Relationship Id="rId2" Type="http://schemas.openxmlformats.org/officeDocument/2006/relationships/hyperlink" Target="https://health-affairs.com/" TargetMode="External"/><Relationship Id="rId1" Type="http://schemas.openxmlformats.org/officeDocument/2006/relationships/hyperlink" Target="https://medicina-moderna.com/" TargetMode="External"/><Relationship Id="rId6" Type="http://schemas.openxmlformats.org/officeDocument/2006/relationships/hyperlink" Target="https://medicina-moderna.com/" TargetMode="External"/><Relationship Id="rId5" Type="http://schemas.openxmlformats.org/officeDocument/2006/relationships/image" Target="media/image3.jpeg"/><Relationship Id="rId4"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2799</Words>
  <Characters>15955</Characters>
  <Application>Microsoft Office Word</Application>
  <DocSecurity>0</DocSecurity>
  <Lines>132</Lines>
  <Paragraphs>37</Paragraphs>
  <ScaleCrop>false</ScaleCrop>
  <Company/>
  <LinksUpToDate>false</LinksUpToDate>
  <CharactersWithSpaces>18717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Editorial Office</dc:creator>
  <cp:keywords/>
  <cp:lastModifiedBy>Moorche</cp:lastModifiedBy>
  <cp:revision>11</cp:revision>
  <dcterms:created xsi:type="dcterms:W3CDTF">2025-12-14T08:13:00Z</dcterms:created>
  <dcterms:modified xsi:type="dcterms:W3CDTF">2026-04-22T16:51:00Z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dc1b7fca-11ab-4a65-9d72-f6e78985c333</vt:lpwstr>
  </property>
</Properties>
</file>